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retrieved-context account of selective interference in intrusive and voluntary remembering</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a visuospatial intervention task performed after a film reminder can reduce the frequency of film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represents film, reminder, and task events and predicts sequences of film and non-film recall events.</w:t>
      </w:r>
      <w:r>
        <w:t xml:space="preserve"> </w:t>
      </w:r>
      <w:r>
        <w:t xml:space="preserve">In the model, a film reminder reinstates film-associated context before the task.</w:t>
      </w:r>
      <w:r>
        <w:t xml:space="preserve"> </w:t>
      </w:r>
      <w:r>
        <w:t xml:space="preserve">Task items are then linked to that context, so later film-associated context can cue task competitors as well as film items.</w:t>
      </w:r>
      <w:r>
        <w:t xml:space="preserve"> </w:t>
      </w:r>
      <w:r>
        <w:t xml:space="preserve">Deliberate recall is less affected when a maintained film-category cue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p>
      <w:r>
        <w:br w:type="page"/>
      </w:r>
    </w:p>
    <w:bookmarkEnd w:id="20"/>
    <w:bookmarkStart w:id="27" w:name="introduction"/>
    <w:p>
      <w:pPr>
        <w:pStyle w:val="Heading1"/>
      </w:pPr>
      <w:r>
        <w:t xml:space="preserve">Introduction</w:t>
      </w:r>
    </w:p>
    <w:p>
      <w:pPr>
        <w:pStyle w:val="FirstParagraph"/>
      </w:pPr>
      <w:r>
        <w:drawing>
          <wp:inline>
            <wp:extent cx="5334000" cy="4327349"/>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Modeled trauma-film paradigm and schematic selective-interference pattern.</w:t>
      </w:r>
      <w:r>
        <w:t xml:space="preserve"> </w:t>
      </w:r>
      <w:r>
        <w:t xml:space="preserve">(A) The modeled trauma-film paradigm includes film encoding, an intervening delay, a possible pre-task film reminder, an intervening task, a post-task delay, and a later test of unguided or deliberate film recall. (B) The qualitative pattern targeted by the recall simulations is summarized as an interaction among reminder condition, intervening task, and retrieval condition. Columns distinguish whether the task is preceded by a film reminder, rows distinguish unguided film recall from deliberate film recall, and paired bars compare film recall after a comparison/control condition versus a visuospatial task condition. The visuospatial task condition produces the largest reduction in unguided film recall when it follows a film reminder, whereas deliberate film recall shows a smaller reduction under the same conditions. Bars are schematic and do not plot empirical counts, fitted values, or model output.</w:t>
      </w:r>
    </w:p>
    <w:p>
      <w:r>
        <w:br w:type="page"/>
      </w:r>
    </w:p>
    <w:p>
      <w:pPr>
        <w:pStyle w:val="BodyText"/>
      </w:pPr>
      <w:r>
        <w:drawing>
          <wp:inline>
            <wp:extent cx="5334000" cy="5425926"/>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5425926"/>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closely matched laboratory reports under involuntary and voluntary retrieval instructions. Column headings are bridge labels for the theoretical contrast, and panel titles name the empirical measure used in each study. The lower rows both use laboratory intrusion/report tasks; the McConnell row adds a voluntary-report version of the same laboratory reporting format. Gray bars indicate the study-specific comparison/control condition, such as rest or auditory control, and orange bars indicate the visuospatial task condition. Bracket labels summarize the plotted contrast rather than a uniform significance test. Bar heights reproduce reported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reminder or test cue is presented. (B) The interference manipulation changes which context states task items are linked to during encoding. Without a pre-task reminder, task items are encoded after context has drifted away from the film. With a pre-task film reminder, film-associated context is reinstated before task encoding, so task items are learned while that context remains active. Thus, the same context that can cue film items can also cue task competitors during later retrieval. When task encoding is strong, those task items become stronger competitors during later context-guided retrieval. Circles mark item features: F labels film items and T labels task items. Squares mark context states. Blue marks film items or film-linked context, orange marks task items or task-linked context, green marks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Stored film and task associations can be sampled from different starting contexts. Unguided retrieval begins from ongoing context, which can support film and task candidates together. Deliberate recall can begin with start-of-film context reinstatement, which favors film candidates while leaving task candidates possible. (B) During context-to-feature sampling, ongoing context can support film items and task competitors, while a maintained film-category cue adds support only to film candidates. (C) Rows compare film recall, unmonitored task recall, and monitored task recall. Sampled outputs update the next retrieval context through feature-to-context memory. Recalling a film item keeps later search biased toward film candidates. Recalling a task item without monitoring can shift later context toward task candidates. With retrieval monitoring, the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0b57449337501b368012fcfcd473e33f3217151"/>
    <w:p>
      <w:pPr>
        <w:pStyle w:val="Heading1"/>
      </w:pPr>
      <w:r>
        <w:t xml:space="preserve">Simulation 1: Task Encoding and Context Similarity</w:t>
      </w:r>
    </w:p>
    <w:p>
      <w:pPr>
        <w:pStyle w:val="FirstParagraph"/>
      </w:pPr>
      <w:r>
        <w:drawing>
          <wp:inline>
            <wp:extent cx="5334000" cy="4714264"/>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4264"/>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row shows one simulated trial selected near the condition mean for the number of film items recalled; recalled items are ordered left to right by output position. Colors mark film items, task items, delay/filler items, and unfilled output positions. (B) Mean number of film items recalled across all simulated trials. Film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80000"/>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similarity between film- and task-encoding contexts.</w:t>
      </w:r>
      <w:r>
        <w:t xml:space="preserve"> </w:t>
      </w:r>
      <w:r>
        <w:t xml:space="preserve">Reminder condition was varied before task encoding while retrieval was held unguided. (A) Mean context similarity between each encoded film position and the task-encoding period, averaging across encoded task positions. (B) Full film-by-task context-similarity matrices for the same conditions; each cell compares the context state associated with one encoded film position to the context state active at one encoded task position. Brighter cells indicate greater context similarity. The film reminder increases similarity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film-category cue, and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strong task encoding after a film reminder strongly reduces unguided film recall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 Weak film cues were supplied periodically during recall in all conditions. Unguided film recall includes none of the three deliberate-control operations. Bars show mean number of film items recalled for each control setting in both conditions. Start-of-film reinstatement and retrieval monitoring increase film recall in some conditions, but the loss from the low- to high-interference condition is smallest when a maintained film-category cue is included.</w:t>
      </w:r>
    </w:p>
    <w:p>
      <w:r>
        <w:br w:type="page"/>
      </w:r>
    </w:p>
    <w:p>
      <w:pPr>
        <w:pStyle w:val="BodyText"/>
      </w:pPr>
      <w:r>
        <w:drawing>
          <wp:inline>
            <wp:extent cx="5334000" cy="5080000"/>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 A maintained film-category cue supports film items during deliberate recall and is distinct from the external film reminder and test-phase film cues. (A) Mean similarity between task-encoding contexts and film-directed retrieval cues, averaging across encoded task positions for each encoded film position. (B) Full similarity matrices for the same condition. The left matrix uses temporal context alone; the right matrix schematically adds the maintained film-category cue to the film-directed retrieval cue. Brighter cells indicate greater similarity to task-encoding context. Adding the maintained film-category cue reduces similarity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42187"/>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42187"/>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the task phase.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when strong task encoding follows a film reminder. Start-of-film context reinstatement therefore protects early encoded film positions by shifting retrieval initiation toward the start of the film sequence.</w:t>
      </w:r>
    </w:p>
    <w:p>
      <w:r>
        <w:br w:type="page"/>
      </w:r>
    </w:p>
    <w:p>
      <w:pPr>
        <w:pStyle w:val="BodyText"/>
      </w:pPr>
      <w:r>
        <w:drawing>
          <wp:inline>
            <wp:extent cx="5334000" cy="5066184"/>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6184"/>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recall of a film item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the task phase. Retrieval monitoring therefore supports film recall after search is pulled away from the film sequence, increasing film recall probability when strong task encoding follows a film reminder.</w:t>
      </w:r>
    </w:p>
    <w:p>
      <w:r>
        <w:br w:type="page"/>
      </w:r>
    </w:p>
    <w:bookmarkEnd w:id="60"/>
    <w:bookmarkStart w:id="64" w:name="recognition-like-test-format"/>
    <w:p>
      <w:pPr>
        <w:pStyle w:val="Heading1"/>
      </w:pPr>
      <w:r>
        <w:t xml:space="preserve">Recognition-Like Test Format</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lets an item reinstate its associated context, whereas context-to-feature memory lets context cue candidate items. (B) When film-associated context cues items, film items and task items linked to that context can both receive support. When a film item reinstates context, retrieval targets context units instead, so task items are not competitors in that step. (C) In recognition, the test presents a candidate film item as the probe. The probe retrieves associated context, which is compared with ongoing test context; stronger matches provide stronger evidence that the item appeared in the film. (D) Old-film minus foil recognition evidence is plotted across the same reminder conditions and task encoding strengths used in the recall simulations. The measure subtracts mean evidence for film-source-matched foils from mean evidence for studied film probes. Strong task encoding after a film reminder does not produce a corresponding reduction in recognition-evidence separation.</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retrieved-context account of selective interference in intrusive and voluntary remembering</dc:title>
  <dc:creator>Jordan B Gunn</dc:creator>
  <cp:keywords>intrusive memories, voluntary memory, trauma-film paradigm, visuospatial intervention, selective interference, retrieved-context theory, computational modeling</cp:keywords>
  <dcterms:created xsi:type="dcterms:W3CDTF">2026-07-14T06:04:10Z</dcterms:created>
  <dcterms:modified xsi:type="dcterms:W3CDTF">2026-07-14T06:04:10Z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Retrieved context and selective interference</vt:lpwstr>
  </property>
  <property fmtid="{D5CDD505-2E9C-101B-9397-08002B2CF9AE}" pid="13" name="toc-title">
    <vt:lpwstr>Table of contents</vt:lpwstr>
  </property>
</Properties>
</file>