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testing whether selective interference can arise within a single affectively-modulated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unguided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task encoding strength and contextual overlap, clarifying when task items are cued alongside film items and when they become strong competitors for film retrieval.</w:t>
      </w:r>
      <w:r>
        <w:t xml:space="preserve"> </w:t>
      </w:r>
      <w:r>
        <w:t xml:space="preserve">They also apply the same overlap logic to delayed interference, asking whether reminder-driven reinstatement makes later task items competitors by returning encoding context toward the film.</w:t>
      </w:r>
      <w:r>
        <w:t xml:space="preserve"> </w:t>
      </w:r>
      <w:r>
        <w:t xml:space="preserve">Follow-up simulations use the same framework to interpret heterogeneity across empirical paradigms, including cue-embedded intrusion and recognition tasks</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They show that film-related cues during intrusion monitoring can narrow the intrusion-voluntary-memory dissociation by steering retrieval toward film context.</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affective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affective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Emotional extensions of CMR represent affect as an additional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affective-context stream can amplify competition when film and task items share the relevant affective feature.</w:t>
      </w:r>
      <w:r>
        <w:t xml:space="preserve"> </w:t>
      </w:r>
      <w:r>
        <w:t xml:space="preserve">The formal model specified next instantiates the central commitments as phase-specific encoding, reminder-driven reinstatement, retrieval-mode and control settings, and affective overlap.</w:t>
      </w:r>
    </w:p>
    <w:bookmarkEnd w:id="29"/>
    <w:bookmarkStart w:id="38" w:name="model-and-paradigm"/>
    <w:p>
      <w:pPr>
        <w:pStyle w:val="Heading1"/>
      </w:pPr>
      <w:r>
        <w:t xml:space="preserve">Model and Paradigm</w:t>
      </w:r>
    </w:p>
    <w:p>
      <w:pPr>
        <w:pStyle w:val="FirstParagraph"/>
      </w:pPr>
      <w:r>
        <w:t xml:space="preserve">The simulations instantiate the retrieved-context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has a feature layer, a context layer, feature-to-context memory</w:t>
      </w:r>
      <w:r>
        <w:t xml:space="preserve"> </w:t>
      </w:r>
      <m:oMath>
        <m:sSup>
          <m:e>
            <m:r>
              <m:t>M</m:t>
            </m:r>
          </m:e>
          <m:sup>
            <m:r>
              <m:t>F</m:t>
            </m:r>
            <m:r>
              <m:t>C</m:t>
            </m:r>
          </m:sup>
        </m:sSup>
      </m:oMath>
      <w:r>
        <w:t xml:space="preserve">, and context-to-feature memory</w:t>
      </w:r>
      <w:r>
        <w:t xml:space="preserve"> </w:t>
      </w:r>
      <m:oMath>
        <m:sSup>
          <m:e>
            <m:r>
              <m:t>M</m:t>
            </m:r>
          </m:e>
          <m:sup>
            <m:r>
              <m:t>C</m:t>
            </m:r>
            <m:r>
              <m:t>F</m:t>
            </m:r>
          </m:sup>
        </m:sSup>
      </m:oMath>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It updates context, learns item-context associations by outer products, retrieves items competitively, and reinstates context after retrieval.</w:t>
      </w:r>
      <w:r>
        <w:t xml:space="preserve"> </w:t>
      </w:r>
      <w:r>
        <w:t xml:space="preserve">Departures from standard list-learning applications of CMR address two features of the selective-interference paradigm.</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r>
        <w:t xml:space="preserve"> </w:t>
      </w:r>
      <w:r>
        <w:t xml:space="preserve">The section defines the model’s representations and parameters, generic CMR operations, paradigm settings, retrieval-control settings, and affective context.</w:t>
      </w:r>
    </w:p>
    <w:bookmarkStart w:id="31"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r>
        <w:t xml:space="preserve">Base parameter values are anchored by a pooled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hyperlink w:anchor="tbl-base-parameters">
        <w:r>
          <w:rPr>
            <w:rStyle w:val="Hyperlink"/>
          </w:rPr>
          <w:t xml:space="preserve">Table 1</w:t>
        </w:r>
      </w:hyperlink>
      <w:r>
        <w:t xml:space="preserve"> </w:t>
      </w:r>
      <w:r>
        <w:t xml:space="preserve">lists the base parameters used by the model.</w:t>
      </w:r>
    </w:p>
    <w:bookmarkStart w:id="30" w:name="tbl-base-parameters"/>
    <w:p>
      <w:pPr>
        <w:pStyle w:val="FigureTitle"/>
      </w:pPr>
      <w:r>
        <w:t xml:space="preserve">Table 1</w:t>
      </w:r>
    </w:p>
    <w:p>
      <w:pPr>
        <w:pStyle w:val="Caption"/>
      </w:pPr>
      <w:r>
        <w:t xml:space="preserve">Base parameters and theoretical roles.</w:t>
      </w:r>
      <w:r>
        <w:t xml:space="preserve"> </w:t>
      </w:r>
      <w:r>
        <w:t xml:space="preserve">The parameter anchor is external to the selective-interference simulations</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affective learning scale</w:t>
            </w:r>
          </w:p>
        </w:tc>
        <w:tc>
          <w:tcPr/>
          <w:p>
            <w:pPr>
              <w:pStyle w:val="Compact"/>
            </w:pPr>
            <w:r>
              <w:t xml:space="preserve">Affective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0"/>
    <w:bookmarkEnd w:id="31"/>
    <w:bookmarkStart w:id="32" w:name="pre-experimental-associations"/>
    <w:p>
      <w:pPr>
        <w:pStyle w:val="Heading2"/>
      </w:pPr>
      <w:r>
        <w:t xml:space="preserve">Pre-Experimental Associations</w:t>
      </w:r>
    </w:p>
    <w:p>
      <w:pPr>
        <w:pStyle w:val="FirstParagraph"/>
      </w:pPr>
      <w:r>
        <w:t xml:space="preserve">Pre-experimental initialization establishes baseline associations before the experiment.</w:t>
      </w:r>
      <w:r>
        <w:t xml:space="preserve"> </w:t>
      </w:r>
      <w:r>
        <w:t xml:space="preserve">For the start unit and item-associated temporal context units:</w:t>
      </w:r>
    </w:p>
    <w:p>
      <w:pPr>
        <w:pStyle w:val="BodyText"/>
      </w:pPr>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oMath>
      </m:oMathPara>
    </w:p>
    <w:p>
      <w:pPr>
        <w:pStyle w:val="FirstParagraph"/>
      </w:pPr>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oMath>
      </m:oMathPara>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2"/>
    <w:bookmarkStart w:id="33" w:name="cmr-operations"/>
    <w:p>
      <w:pPr>
        <w:pStyle w:val="Heading2"/>
      </w:pPr>
      <w:r>
        <w:t xml:space="preserve">CMR Operations</w:t>
      </w:r>
    </w:p>
    <w:p>
      <w:pPr>
        <w:pStyle w:val="FirstParagraph"/>
      </w:pP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oMath>
      </m:oMathPara>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oMath>
      </m:oMathPara>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oMath>
      </m:oMathPara>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When a new event is encoded, the active feature and updated context are also associated via outer-product learning.</w:t>
      </w:r>
      <w:r>
        <w:t xml:space="preserve"> </w:t>
      </w:r>
      <w:r>
        <w:t xml:space="preserve">Feature-to-context associations update as:</w:t>
      </w:r>
    </w:p>
    <w:p>
      <w:pPr>
        <w:pStyle w:val="BodyText"/>
      </w:pPr>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oMath>
      </m:oMathPara>
    </w:p>
    <w:p>
      <w:pPr>
        <w:pStyle w:val="FirstParagraph"/>
      </w:pPr>
      <w:r>
        <w:t xml:space="preserve">A primacy function weights context-to-feature learning:</w:t>
      </w:r>
    </w:p>
    <w:p>
      <w:pPr>
        <w:pStyle w:val="BodyText"/>
      </w:pPr>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oMath>
      </m:oMathPara>
    </w:p>
    <w:p>
      <w:pPr>
        <w:pStyle w:val="FirstParagraph"/>
      </w:pPr>
      <w:r>
        <w:t xml:space="preserve">Context-to-feature associations update as:</w:t>
      </w:r>
    </w:p>
    <w:p>
      <w:pPr>
        <w:pStyle w:val="BodyText"/>
      </w:pPr>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oMath>
      </m:oMathPara>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During retrieval, current context cues encoded items through</w:t>
      </w:r>
      <w:r>
        <w:t xml:space="preserve"> </w:t>
      </w:r>
      <m:oMath>
        <m:sSup>
          <m:e>
            <m:r>
              <m:t>M</m:t>
            </m:r>
          </m:e>
          <m:sup>
            <m:r>
              <m:t>C</m:t>
            </m:r>
            <m:r>
              <m:t>F</m:t>
            </m:r>
          </m:sup>
        </m:sSup>
      </m:oMath>
      <w:r>
        <w:t xml:space="preserve">:</w:t>
      </w:r>
    </w:p>
    <w:p>
      <w:pPr>
        <w:pStyle w:val="BodyText"/>
      </w:pPr>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oMath>
      </m:oMathPara>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m:oMathPara>
        <m:oMathParaPr>
          <m:jc m:val="center"/>
        </m:oMathParaPr>
        <m:oMath>
          <m:sSub>
            <m:e>
              <m:r>
                <m:t>A</m:t>
              </m:r>
            </m:e>
            <m:sub>
              <m:r>
                <m:t>i</m:t>
              </m:r>
            </m:sub>
          </m:sSub>
          <m:r>
            <m:rPr>
              <m:sty m:val="p"/>
            </m:rPr>
            <m:t>=</m:t>
          </m:r>
          <m:sSubSup>
            <m:e>
              <m:r>
                <m:t>a</m:t>
              </m:r>
            </m:e>
            <m:sub>
              <m:r>
                <m:t>i</m:t>
              </m:r>
            </m:sub>
            <m:sup>
              <m:r>
                <m:t>τ</m:t>
              </m:r>
            </m:sup>
          </m:sSubSup>
        </m:oMath>
      </m:oMathPara>
    </w:p>
    <w:p>
      <w:pPr>
        <w:pStyle w:val="FirstParagraph"/>
      </w:pPr>
      <w:r>
        <w:t xml:space="preserve">The probability of recalling item</w:t>
      </w:r>
      <w:r>
        <w:t xml:space="preserve"> </w:t>
      </w:r>
      <m:oMath>
        <m:r>
          <m:t>i</m:t>
        </m:r>
      </m:oMath>
      <w:r>
        <w:t xml:space="preserve">, conditional on continuing recall, follows a Luce choice rule over currently unrecalled items:</w:t>
      </w:r>
    </w:p>
    <w:p>
      <w:pPr>
        <w:pStyle w:val="BodyText"/>
      </w:pPr>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oMath>
      </m:oMathPara>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oMath>
      </m:oMathPara>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recalled item</w:t>
      </w:r>
      <w:r>
        <w:t xml:space="preserve"> </w:t>
      </w:r>
      <m:oMath>
        <m:sSub>
          <m:e>
            <m:r>
              <m:t>r</m:t>
            </m:r>
          </m:e>
          <m:sub>
            <m:r>
              <m:t>j</m:t>
            </m:r>
          </m:sub>
        </m:sSub>
      </m:oMath>
      <w:r>
        <w:t xml:space="preserve">, context is updated through the same feature-to-context pathway:</w:t>
      </w:r>
    </w:p>
    <w:p>
      <w:pPr>
        <w:pStyle w:val="BodyText"/>
      </w:pPr>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oMath>
      </m:oMathPara>
    </w:p>
    <w:p>
      <w:pPr>
        <w:pStyle w:val="FirstParagraph"/>
      </w:pPr>
      <w:r>
        <w:t xml:space="preserve">This recalled-item update drives context toward the recalled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recalled items, and supplied film items use the context update without adding a new recallable event.</w:t>
      </w:r>
    </w:p>
    <w:bookmarkEnd w:id="33"/>
    <w:bookmarkStart w:id="35" w:name="paradigm-phases-and-settings"/>
    <w:p>
      <w:pPr>
        <w:pStyle w:val="Heading2"/>
      </w:pPr>
      <w:r>
        <w:t xml:space="preserve">Paradigm Phases and Settings</w:t>
      </w:r>
    </w:p>
    <w:p>
      <w:pPr>
        <w:pStyle w:val="FirstParagraph"/>
      </w:pPr>
      <w:r>
        <w:t xml:space="preserve">The selective-interference paradigm configures the generic operations through phase-specific drift rates, context-to-feature learning scales, and retrieval-control settings.</w:t>
      </w:r>
      <w:r>
        <w:t xml:space="preserve"> </w:t>
      </w:r>
      <w:hyperlink w:anchor="tbl-paradigm-settings">
        <w:r>
          <w:rPr>
            <w:rStyle w:val="Hyperlink"/>
          </w:rPr>
          <w:t xml:space="preserve">Table 2</w:t>
        </w:r>
      </w:hyperlink>
      <w:r>
        <w:t xml:space="preserve"> </w:t>
      </w:r>
      <w:r>
        <w:t xml:space="preserve">summarizes the settings used by the simulations.</w:t>
      </w:r>
    </w:p>
    <w:bookmarkStart w:id="34" w:name="tbl-paradigm-settings"/>
    <w:p>
      <w:pPr>
        <w:pStyle w:val="FigureTitle"/>
      </w:pPr>
      <w:r>
        <w:t xml:space="preserve">Table 2</w:t>
      </w:r>
    </w:p>
    <w:p>
      <w:pPr>
        <w:pStyle w:val="Caption"/>
      </w:pPr>
      <w:r>
        <w:t xml:space="preserve">Paradigm phase and retrieval settings.</w:t>
      </w:r>
      <w:r>
        <w:t xml:space="preserve"> </w:t>
      </w:r>
      <w:r>
        <w:t xml:space="preserve">Drift scales multiply their base rates 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Operation</w:t>
            </w:r>
          </w:p>
        </w:tc>
        <w:tc>
          <w:tcPr/>
          <w:p>
            <w:pPr>
              <w:pStyle w:val="Compact"/>
            </w:pPr>
            <w:r>
              <w:t xml:space="preserve">Settings</w:t>
            </w:r>
          </w:p>
        </w:tc>
        <w:tc>
          <w:tcPr/>
          <w:p>
            <w:pPr>
              <w:pStyle w:val="Compact"/>
            </w:pPr>
            <w:r>
              <w:t xml:space="preserve">Paradigm role</w:t>
            </w:r>
          </w:p>
        </w:tc>
      </w:tr>
      <w:tr>
        <w:tc>
          <w:tcPr/>
          <w:p>
            <w:pPr>
              <w:pStyle w:val="Compact"/>
            </w:pPr>
            <w:r>
              <w:t xml:space="preserve">Film</w:t>
            </w:r>
          </w:p>
        </w:tc>
        <w:tc>
          <w:tcPr/>
          <w:p>
            <w:pPr>
              <w:pStyle w:val="Compact"/>
            </w:pPr>
            <w:r>
              <w:t xml:space="preserve">Encode film items</w:t>
            </w:r>
          </w:p>
        </w:tc>
        <w:tc>
          <w:tcPr/>
          <w:p>
            <w:pPr>
              <w:pStyle w:val="Compact"/>
            </w:pPr>
            <m:oMath>
              <m:r>
                <m:t>β</m:t>
              </m:r>
              <m:r>
                <m:rPr>
                  <m:sty m:val="p"/>
                </m:rPr>
                <m:t>=</m:t>
              </m:r>
              <m:sSub>
                <m:e>
                  <m:r>
                    <m:t>β</m:t>
                  </m:r>
                </m:e>
                <m:sub>
                  <m:r>
                    <m:t>e</m:t>
                  </m:r>
                  <m:r>
                    <m:t>n</m:t>
                  </m:r>
                  <m:r>
                    <m:t>c</m:t>
                  </m:r>
                </m:sub>
              </m:sSub>
            </m:oMath>
            <w:r>
              <w:t xml:space="preserve">;</w:t>
            </w:r>
            <w:r>
              <w:t xml:space="preserve"> </w:t>
            </w:r>
            <m:oMath>
              <m:r>
                <m:t>λ</m:t>
              </m:r>
              <m:r>
                <m:rPr>
                  <m:sty m:val="p"/>
                </m:rPr>
                <m:t>=</m:t>
              </m:r>
              <m:r>
                <m:t>1</m:t>
              </m:r>
            </m:oMath>
          </w:p>
        </w:tc>
        <w:tc>
          <w:tcPr/>
          <w:p>
            <w:pPr>
              <w:pStyle w:val="Compact"/>
            </w:pPr>
            <w:r>
              <w:t xml:space="preserve">Target episode encoding</w:t>
            </w:r>
          </w:p>
        </w:tc>
      </w:tr>
      <w:tr>
        <w:tc>
          <w:tcPr/>
          <w:p>
            <w:pPr>
              <w:pStyle w:val="Compact"/>
            </w:pPr>
            <w:r>
              <w:t xml:space="preserve">Break</w:t>
            </w:r>
          </w:p>
        </w:tc>
        <w:tc>
          <w:tcPr/>
          <w:p>
            <w:pPr>
              <w:pStyle w:val="Compact"/>
            </w:pPr>
            <w:r>
              <w:t xml:space="preserve">Encode break items</w:t>
            </w:r>
          </w:p>
        </w:tc>
        <w:tc>
          <w:tcPr/>
          <w:p>
            <w:pPr>
              <w:pStyle w:val="Compact"/>
            </w:pPr>
            <m:oMath>
              <m:r>
                <m:t>β</m:t>
              </m:r>
              <m:r>
                <m:rPr>
                  <m:sty m:val="p"/>
                </m:rPr>
                <m:t>=</m:t>
              </m:r>
              <m:sSubSup>
                <m:e>
                  <m:r>
                    <m:t>m</m:t>
                  </m:r>
                </m:e>
                <m:sub>
                  <m:r>
                    <m:rPr>
                      <m:nor/>
                      <m:sty m:val="p"/>
                    </m:rPr>
                    <m:t>break</m:t>
                  </m:r>
                </m:sub>
                <m:sup>
                  <m:r>
                    <m:t>β</m:t>
                  </m:r>
                </m:sup>
              </m:sSubSup>
              <m:sSub>
                <m:e>
                  <m:r>
                    <m:t>β</m:t>
                  </m:r>
                </m:e>
                <m:sub>
                  <m:r>
                    <m:t>e</m:t>
                  </m:r>
                  <m:r>
                    <m:t>n</m:t>
                  </m:r>
                  <m:r>
                    <m:t>c</m:t>
                  </m:r>
                </m:sub>
              </m:sSub>
            </m:oMath>
            <w:r>
              <w:t xml:space="preserve">;</w:t>
            </w:r>
            <w:r>
              <w:t xml:space="preserve"> </w:t>
            </w:r>
            <m:oMath>
              <m:r>
                <m:t>λ</m:t>
              </m:r>
              <m:r>
                <m:rPr>
                  <m:sty m:val="p"/>
                </m:rPr>
                <m:t>=</m:t>
              </m:r>
              <m:sSubSup>
                <m:e>
                  <m:r>
                    <m:t>m</m:t>
                  </m:r>
                </m:e>
                <m:sub>
                  <m:r>
                    <m:rPr>
                      <m:nor/>
                      <m:sty m:val="p"/>
                    </m:rPr>
                    <m:t>break</m:t>
                  </m:r>
                </m:sub>
                <m:sup>
                  <m:r>
                    <m:t>λ</m:t>
                  </m:r>
                </m:sup>
              </m:sSubSup>
            </m:oMath>
          </w:p>
        </w:tc>
        <w:tc>
          <w:tcPr/>
          <w:p>
            <w:pPr>
              <w:pStyle w:val="Compact"/>
            </w:pPr>
            <w:r>
              <w:t xml:space="preserve">Delay and possible break-item competitors</w:t>
            </w:r>
          </w:p>
        </w:tc>
      </w:tr>
      <w:tr>
        <w:tc>
          <w:tcPr/>
          <w:p>
            <w:pPr>
              <w:pStyle w:val="Compact"/>
            </w:pPr>
            <w:r>
              <w:t xml:space="preserve">Reminder start</w:t>
            </w:r>
          </w:p>
        </w:tc>
        <w:tc>
          <w:tcPr/>
          <w:p>
            <w:pPr>
              <w:pStyle w:val="Compact"/>
            </w:pPr>
            <w:r>
              <w:t xml:space="preserve">Drift toward start state</w:t>
            </w:r>
          </w:p>
        </w:tc>
        <w:tc>
          <w:tcPr/>
          <w:p>
            <w:pPr>
              <w:pStyle w:val="Compact"/>
            </w:pPr>
            <m:oMath>
              <m:r>
                <m:t>β</m:t>
              </m:r>
              <m:r>
                <m:rPr>
                  <m:sty m:val="p"/>
                </m:rPr>
                <m:t>=</m:t>
              </m:r>
              <m:sSubSup>
                <m:e>
                  <m:r>
                    <m:t>m</m:t>
                  </m:r>
                </m:e>
                <m:sub>
                  <m:r>
                    <m:rPr>
                      <m:nor/>
                      <m:sty m:val="p"/>
                    </m:rPr>
                    <m:t>rem,start</m:t>
                  </m:r>
                </m:sub>
                <m:sup>
                  <m:r>
                    <m:t>β</m:t>
                  </m:r>
                </m:sup>
              </m:sSubSup>
              <m:sSub>
                <m:e>
                  <m:r>
                    <m:t>β</m:t>
                  </m:r>
                </m:e>
                <m:sub>
                  <m:r>
                    <m:t>s</m:t>
                  </m:r>
                  <m:r>
                    <m:t>t</m:t>
                  </m:r>
                  <m:r>
                    <m:t>a</m:t>
                  </m:r>
                  <m:r>
                    <m:t>r</m:t>
                  </m:r>
                  <m:r>
                    <m:t>t</m:t>
                  </m:r>
                </m:sub>
              </m:sSub>
            </m:oMath>
            <w:r>
              <w:t xml:space="preserve">; no learning</w:t>
            </w:r>
          </w:p>
        </w:tc>
        <w:tc>
          <w:tcPr/>
          <w:p>
            <w:pPr>
              <w:pStyle w:val="Compact"/>
            </w:pPr>
            <w:r>
              <w:t xml:space="preserve">Context change before reminders</w:t>
            </w:r>
          </w:p>
        </w:tc>
      </w:tr>
      <w:tr>
        <w:tc>
          <w:tcPr/>
          <w:p>
            <w:pPr>
              <w:pStyle w:val="Compact"/>
            </w:pPr>
            <w:r>
              <w:t xml:space="preserve">Film reminder</w:t>
            </w:r>
          </w:p>
        </w:tc>
        <w:tc>
          <w:tcPr/>
          <w:p>
            <w:pPr>
              <w:pStyle w:val="Compact"/>
            </w:pPr>
            <w:r>
              <w:t xml:space="preserve">Sequentially cue film items</w:t>
            </w:r>
          </w:p>
        </w:tc>
        <w:tc>
          <w:tcPr/>
          <w:p>
            <w:pPr>
              <w:pStyle w:val="Compact"/>
            </w:pPr>
            <m:oMath>
              <m:r>
                <m:t>β</m:t>
              </m:r>
              <m:r>
                <m:rPr>
                  <m:sty m:val="p"/>
                </m:rPr>
                <m:t>=</m:t>
              </m:r>
              <m:sSubSup>
                <m:e>
                  <m:r>
                    <m:t>m</m:t>
                  </m:r>
                </m:e>
                <m:sub>
                  <m:r>
                    <m:rPr>
                      <m:nor/>
                      <m:sty m:val="p"/>
                    </m:rPr>
                    <m:t>rem</m:t>
                  </m:r>
                </m:sub>
                <m:sup>
                  <m:r>
                    <m:t>β</m:t>
                  </m:r>
                </m:sup>
              </m:sSubSup>
              <m:sSub>
                <m:e>
                  <m:r>
                    <m:t>β</m:t>
                  </m:r>
                </m:e>
                <m:sub>
                  <m:r>
                    <m:t>e</m:t>
                  </m:r>
                  <m:r>
                    <m:t>n</m:t>
                  </m:r>
                  <m:r>
                    <m:t>c</m:t>
                  </m:r>
                </m:sub>
              </m:sSub>
            </m:oMath>
            <w:r>
              <w:t xml:space="preserve">; no learning; no new recallable item</w:t>
            </w:r>
          </w:p>
        </w:tc>
        <w:tc>
          <w:tcPr/>
          <w:p>
            <w:pPr>
              <w:pStyle w:val="Compact"/>
            </w:pPr>
            <w:r>
              <w:t xml:space="preserve">Film-context reinstatement before task encoding</w:t>
            </w:r>
          </w:p>
        </w:tc>
      </w:tr>
      <w:tr>
        <w:tc>
          <w:tcPr/>
          <w:p>
            <w:pPr>
              <w:pStyle w:val="Compact"/>
            </w:pPr>
            <w:r>
              <w:t xml:space="preserve">Task</w:t>
            </w:r>
          </w:p>
        </w:tc>
        <w:tc>
          <w:tcPr/>
          <w:p>
            <w:pPr>
              <w:pStyle w:val="Compact"/>
            </w:pPr>
            <w:r>
              <w:t xml:space="preserve">Encode task items</w:t>
            </w:r>
          </w:p>
        </w:tc>
        <w:tc>
          <w:tcPr/>
          <w:p>
            <w:pPr>
              <w:pStyle w:val="Compact"/>
            </w:pPr>
            <m:oMath>
              <m:r>
                <m:t>β</m:t>
              </m:r>
              <m:r>
                <m:rPr>
                  <m:sty m:val="p"/>
                </m:rPr>
                <m:t>=</m:t>
              </m:r>
              <m:sSubSup>
                <m:e>
                  <m:r>
                    <m:t>m</m:t>
                  </m:r>
                </m:e>
                <m:sub>
                  <m:r>
                    <m:rPr>
                      <m:nor/>
                      <m:sty m:val="p"/>
                    </m:rPr>
                    <m:t>task</m:t>
                  </m:r>
                </m:sub>
                <m:sup>
                  <m:r>
                    <m:t>β</m:t>
                  </m:r>
                </m:sup>
              </m:sSubSup>
              <m:sSub>
                <m:e>
                  <m:r>
                    <m:t>β</m:t>
                  </m:r>
                </m:e>
                <m:sub>
                  <m:r>
                    <m:t>e</m:t>
                  </m:r>
                  <m:r>
                    <m:t>n</m:t>
                  </m:r>
                  <m:r>
                    <m:t>c</m:t>
                  </m:r>
                </m:sub>
              </m:sSub>
            </m:oMath>
            <w:r>
              <w:t xml:space="preserve">;</w:t>
            </w:r>
            <w:r>
              <w:t xml:space="preserve"> </w:t>
            </w:r>
            <m:oMath>
              <m:r>
                <m:t>λ</m:t>
              </m:r>
              <m:r>
                <m:rPr>
                  <m:sty m:val="p"/>
                </m:rPr>
                <m:t>=</m:t>
              </m:r>
              <m:sSubSup>
                <m:e>
                  <m:r>
                    <m:t>m</m:t>
                  </m:r>
                </m:e>
                <m:sub>
                  <m:r>
                    <m:rPr>
                      <m:nor/>
                      <m:sty m:val="p"/>
                    </m:rPr>
                    <m:t>task</m:t>
                  </m:r>
                </m:sub>
                <m:sup>
                  <m:r>
                    <m:t>λ</m:t>
                  </m:r>
                </m:sup>
              </m:sSubSup>
            </m:oMath>
          </w:p>
        </w:tc>
        <w:tc>
          <w:tcPr/>
          <w:p>
            <w:pPr>
              <w:pStyle w:val="Compact"/>
            </w:pPr>
            <w:r>
              <w:t xml:space="preserve">Competitor encoding and film-task contextual overlap</w:t>
            </w:r>
          </w:p>
        </w:tc>
      </w:tr>
      <w:tr>
        <w:tc>
          <w:tcPr/>
          <w:p>
            <w:pPr>
              <w:pStyle w:val="Compact"/>
            </w:pPr>
            <w:r>
              <w:t xml:space="preserve">Filler</w:t>
            </w:r>
          </w:p>
        </w:tc>
        <w:tc>
          <w:tcPr/>
          <w:p>
            <w:pPr>
              <w:pStyle w:val="Compact"/>
            </w:pPr>
            <w:r>
              <w:t xml:space="preserve">Encode filler items</w:t>
            </w:r>
          </w:p>
        </w:tc>
        <w:tc>
          <w:tcPr/>
          <w:p>
            <w:pPr>
              <w:pStyle w:val="Compact"/>
            </w:pPr>
            <m:oMath>
              <m:r>
                <m:t>β</m:t>
              </m:r>
              <m:r>
                <m:rPr>
                  <m:sty m:val="p"/>
                </m:rPr>
                <m:t>=</m:t>
              </m:r>
              <m:sSubSup>
                <m:e>
                  <m:r>
                    <m:t>m</m:t>
                  </m:r>
                </m:e>
                <m:sub>
                  <m:r>
                    <m:rPr>
                      <m:nor/>
                      <m:sty m:val="p"/>
                    </m:rPr>
                    <m:t>fill</m:t>
                  </m:r>
                </m:sub>
                <m:sup>
                  <m:r>
                    <m:t>β</m:t>
                  </m:r>
                </m:sup>
              </m:sSubSup>
              <m:sSub>
                <m:e>
                  <m:r>
                    <m:t>β</m:t>
                  </m:r>
                </m:e>
                <m:sub>
                  <m:r>
                    <m:t>e</m:t>
                  </m:r>
                  <m:r>
                    <m:t>n</m:t>
                  </m:r>
                  <m:r>
                    <m:t>c</m:t>
                  </m:r>
                </m:sub>
              </m:sSub>
            </m:oMath>
            <w:r>
              <w:t xml:space="preserve">;</w:t>
            </w:r>
            <w:r>
              <w:t xml:space="preserve"> </w:t>
            </w:r>
            <m:oMath>
              <m:r>
                <m:t>λ</m:t>
              </m:r>
              <m:r>
                <m:rPr>
                  <m:sty m:val="p"/>
                </m:rPr>
                <m:t>=</m:t>
              </m:r>
              <m:sSubSup>
                <m:e>
                  <m:r>
                    <m:t>m</m:t>
                  </m:r>
                </m:e>
                <m:sub>
                  <m:r>
                    <m:rPr>
                      <m:nor/>
                      <m:sty m:val="p"/>
                    </m:rPr>
                    <m:t>fill</m:t>
                  </m:r>
                </m:sub>
                <m:sup>
                  <m:r>
                    <m:t>λ</m:t>
                  </m:r>
                </m:sup>
              </m:sSubSup>
            </m:oMath>
          </w:p>
        </w:tc>
        <w:tc>
          <w:tcPr/>
          <w:p>
            <w:pPr>
              <w:pStyle w:val="Compact"/>
            </w:pPr>
            <w:r>
              <w:t xml:space="preserve">Post-task buffer and possible filler competitors</w:t>
            </w:r>
          </w:p>
        </w:tc>
      </w:tr>
      <w:tr>
        <w:tc>
          <w:tcPr/>
          <w:p>
            <w:pPr>
              <w:pStyle w:val="Compact"/>
            </w:pPr>
            <w:r>
              <w:t xml:space="preserve">Unguided retrieval</w:t>
            </w:r>
          </w:p>
        </w:tc>
        <w:tc>
          <w:tcPr/>
          <w:p>
            <w:pPr>
              <w:pStyle w:val="Compact"/>
            </w:pPr>
            <w:r>
              <w:t xml:space="preserve">Context-to-feature retrieval</w:t>
            </w:r>
          </w:p>
        </w:tc>
        <w:tc>
          <w:tcPr/>
          <w:p>
            <w:pPr>
              <w:pStyle w:val="Compact"/>
            </w:pPr>
            <w:r>
              <w:t xml:space="preserve">Current context; baseline</w:t>
            </w:r>
            <w:r>
              <w:t xml:space="preserve"> </w:t>
            </w:r>
            <m:oMath>
              <m:r>
                <m:t>τ</m:t>
              </m:r>
            </m:oMath>
            <w:r>
              <w:t xml:space="preserve">; no film-directed start cue</w:t>
            </w:r>
          </w:p>
        </w:tc>
        <w:tc>
          <w:tcPr/>
          <w:p>
            <w:pPr>
              <w:pStyle w:val="Compact"/>
            </w:pPr>
            <w:r>
              <w:t xml:space="preserve">Broad retrieval from the current context state</w:t>
            </w:r>
          </w:p>
        </w:tc>
      </w:tr>
      <w:tr>
        <w:tc>
          <w:tcPr/>
          <w:p>
            <w:pPr>
              <w:pStyle w:val="Compact"/>
            </w:pPr>
            <w:r>
              <w:t xml:space="preserve">Deliberate recall</w:t>
            </w:r>
          </w:p>
        </w:tc>
        <w:tc>
          <w:tcPr/>
          <w:p>
            <w:pPr>
              <w:pStyle w:val="Compact"/>
            </w:pPr>
            <w:r>
              <w:t xml:space="preserve">Context-to-feature retrieval with control</w:t>
            </w:r>
          </w:p>
        </w:tc>
        <w:tc>
          <w:tcPr/>
          <w:p>
            <w:pPr>
              <w:pStyle w:val="Compact"/>
            </w:pPr>
            <w:r>
              <w:t xml:space="preserve">Film-directed start/context cueing; scaled</w:t>
            </w:r>
            <w:r>
              <w:t xml:space="preserve"> </w:t>
            </w:r>
            <m:oMath>
              <m:r>
                <m:t>τ</m:t>
              </m:r>
            </m:oMath>
            <w:r>
              <w:t xml:space="preserve">; target monitoring when enabled</w:t>
            </w:r>
          </w:p>
        </w:tc>
        <w:tc>
          <w:tcPr/>
          <w:p>
            <w:pPr>
              <w:pStyle w:val="Compact"/>
            </w:pPr>
            <w:r>
              <w:t xml:space="preserve">Voluntary film-directed retrieval</w:t>
            </w:r>
          </w:p>
        </w:tc>
      </w:tr>
    </w:tbl>
    <w:bookmarkEnd w:id="34"/>
    <w:p>
      <w:pPr>
        <w:pStyle w:val="AfterWithoutNote"/>
      </w:pPr>
      <w:r>
        <w:t xml:space="preserve">The reminder phase applies the film-item reminder cue operation sequentially to the film items.</w:t>
      </w:r>
      <w:r>
        <w:t xml:space="preserve"> </w:t>
      </w:r>
      <w:r>
        <w:t xml:space="preserve">Each reminder cue reinstates context through</w:t>
      </w:r>
      <w:r>
        <w:t xml:space="preserve"> </w:t>
      </w:r>
      <m:oMath>
        <m:sSup>
          <m:e>
            <m:r>
              <m:t>M</m:t>
            </m:r>
          </m:e>
          <m:sup>
            <m:r>
              <m:t>F</m:t>
            </m:r>
            <m:r>
              <m:t>C</m:t>
            </m:r>
          </m:sup>
        </m:sSup>
      </m:oMath>
      <w:r>
        <w:t xml:space="preserve"> </w:t>
      </w:r>
      <w:r>
        <w:t xml:space="preserve">but does not update</w:t>
      </w:r>
      <w:r>
        <w:t xml:space="preserve"> </w:t>
      </w:r>
      <m:oMath>
        <m:sSup>
          <m:e>
            <m:r>
              <m:t>M</m:t>
            </m:r>
          </m:e>
          <m:sup>
            <m:r>
              <m:t>F</m:t>
            </m:r>
            <m:r>
              <m:t>C</m:t>
            </m:r>
          </m:sup>
        </m:sSup>
      </m:oMath>
      <w:r>
        <w:t xml:space="preserve"> </w:t>
      </w:r>
      <w:r>
        <w:t xml:space="preserve">or</w:t>
      </w:r>
      <w:r>
        <w:t xml:space="preserve"> </w:t>
      </w:r>
      <m:oMath>
        <m:sSup>
          <m:e>
            <m:r>
              <m:t>M</m:t>
            </m:r>
          </m:e>
          <m:sup>
            <m:r>
              <m:t>C</m:t>
            </m:r>
            <m:r>
              <m:t>F</m:t>
            </m:r>
          </m:sup>
        </m:sSup>
      </m:oMath>
      <w:r>
        <w:t xml:space="preserve"> </w:t>
      </w:r>
      <w:r>
        <w:t xml:space="preserve">and is not added as a recallable item.</w:t>
      </w:r>
      <w:r>
        <w:t xml:space="preserve"> </w:t>
      </w:r>
      <w:r>
        <w:t xml:space="preserve">Task items encoded after stronger reminder reinstatement are therefore associated with context states more similar to those associated with film items.</w:t>
      </w:r>
      <w:r>
        <w:t xml:space="preserve"> </w:t>
      </w:r>
      <w:r>
        <w:t xml:space="preserve">Increasing</w:t>
      </w:r>
      <w:r>
        <w:t xml:space="preserve"> </w:t>
      </w:r>
      <m:oMath>
        <m:sSubSup>
          <m:e>
            <m:r>
              <m:t>m</m:t>
            </m:r>
          </m:e>
          <m:sub>
            <m:r>
              <m:rPr>
                <m:nor/>
                <m:sty m:val="p"/>
              </m:rPr>
              <m:t>task</m:t>
            </m:r>
          </m:sub>
          <m:sup>
            <m:r>
              <m:t>λ</m:t>
            </m:r>
          </m:sup>
        </m:sSubSup>
      </m:oMath>
      <w:r>
        <w:t xml:space="preserve"> </w:t>
      </w:r>
      <w:r>
        <w:t xml:space="preserve">makes task items stronger competitors once cued, whereas changing</w:t>
      </w:r>
      <w:r>
        <w:t xml:space="preserve"> </w:t>
      </w:r>
      <m:oMath>
        <m:sSubSup>
          <m:e>
            <m:r>
              <m:t>m</m:t>
            </m:r>
          </m:e>
          <m:sub>
            <m:r>
              <m:rPr>
                <m:nor/>
                <m:sty m:val="p"/>
              </m:rPr>
              <m:t>task</m:t>
            </m:r>
          </m:sub>
          <m:sup>
            <m:r>
              <m:t>β</m:t>
            </m:r>
          </m:sup>
        </m:sSubSup>
      </m:oMath>
      <w:r>
        <w:t xml:space="preserve"> </w:t>
      </w:r>
      <w:r>
        <w:t xml:space="preserve">changes how close task-associated context remains to film-associated context.</w:t>
      </w:r>
      <w:r>
        <w:t xml:space="preserve"> </w:t>
      </w:r>
      <w:r>
        <w:t xml:space="preserve">Together, task drift and task learning determine whether the task phase is merely added experience or a source of items that are both contextually recruited and strong competitors.</w:t>
      </w:r>
    </w:p>
    <w:bookmarkEnd w:id="35"/>
    <w:bookmarkStart w:id="36" w:name="retrieval-control"/>
    <w:p>
      <w:pPr>
        <w:pStyle w:val="Heading2"/>
      </w:pPr>
      <w:r>
        <w:t xml:space="preserve">Retrieval Control</w:t>
      </w:r>
    </w:p>
    <w:p>
      <w:pPr>
        <w:pStyle w:val="FirstParagraph"/>
      </w:pPr>
      <w:r>
        <w:t xml:space="preserve">Unguided retrieval and deliberate recall use the same context-to-feature retrieval operation.</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oMath>
      </m:oMathPara>
    </w:p>
    <w:p>
      <w:pPr>
        <w:pStyle w:val="FirstParagraph"/>
      </w:pPr>
      <w:r>
        <w:t xml:space="preserve">The scale</w:t>
      </w:r>
      <w:r>
        <w:t xml:space="preserve"> </w:t>
      </w:r>
      <m:oMath>
        <m:sSubSup>
          <m:e>
            <m:r>
              <m:t>m</m:t>
            </m:r>
          </m:e>
          <m:sub>
            <m:r>
              <m:rPr>
                <m:nor/>
                <m:sty m:val="p"/>
              </m:rPr>
              <m:t>start</m:t>
            </m:r>
          </m:sub>
          <m:sup>
            <m:r>
              <m:t>β</m:t>
            </m:r>
          </m:sup>
        </m:sSubSup>
      </m:oMath>
      <w:r>
        <w:t xml:space="preserve"> </w:t>
      </w:r>
      <w:r>
        <w:t xml:space="preserve">controls the strength of this cueing in deliberate recall.</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 non-film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oMath>
      </m:oMathPara>
    </w:p>
    <w:p>
      <w:pPr>
        <w:pStyle w:val="FirstParagraph"/>
      </w:pP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convention is used for deliberate recall when simulations manipulate rejected-recall updating.</w:t>
      </w:r>
      <w:r>
        <w:t xml:space="preserve"> </w:t>
      </w:r>
      <w:r>
        <w:t xml:space="preserve">Tests that supply a film item are represented as cue-driven context reinstatement:</w:t>
      </w:r>
    </w:p>
    <w:p>
      <w:pPr>
        <w:pStyle w:val="BodyText"/>
      </w:pPr>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oMath>
      </m:oMathPara>
    </w:p>
    <w:p>
      <w:pPr>
        <w:pStyle w:val="FirstParagraph"/>
      </w:pPr>
      <w:r>
        <w:t xml:space="preserve">This cue is not a separate retrieval system; it is the same feature-to-context operation applied to a supplied film item.</w:t>
      </w:r>
    </w:p>
    <w:bookmarkEnd w:id="36"/>
    <w:bookmarkStart w:id="37" w:name="affective-context"/>
    <w:p>
      <w:pPr>
        <w:pStyle w:val="Heading2"/>
      </w:pPr>
      <w:r>
        <w:t xml:space="preserve">Affective Context</w:t>
      </w:r>
    </w:p>
    <w:p>
      <w:pPr>
        <w:pStyle w:val="FirstParagraph"/>
      </w:pPr>
      <w:r>
        <w:t xml:space="preserve">The model also includes affective context components inherited from eCMR.</w:t>
      </w:r>
      <w:r>
        <w:t xml:space="preserve"> </w:t>
      </w:r>
      <w:r>
        <w:t xml:space="preserve">Each item has a two-unit affective feature vector</w:t>
      </w:r>
      <w:r>
        <w:t xml:space="preserve"> </w:t>
      </w:r>
      <m:oMath>
        <m:sSub>
          <m:e>
            <m:r>
              <m:t>s</m:t>
            </m:r>
          </m:e>
          <m:sub>
            <m:r>
              <m:t>i</m:t>
            </m:r>
          </m:sub>
        </m:sSub>
      </m:oMath>
      <w:r>
        <w:t xml:space="preserve">, with</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items assigned the marked affective feature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r>
        <w:t xml:space="preserve"> </w:t>
      </w:r>
      <w:r>
        <w:t xml:space="preserve">The vector</w:t>
      </w:r>
      <w:r>
        <w:t xml:space="preserve"> </w:t>
      </w:r>
      <m:oMath>
        <m:sSub>
          <m:e>
            <m:r>
              <m:t>s</m:t>
            </m:r>
          </m:e>
          <m:sub>
            <m:r>
              <m:t>i</m:t>
            </m:r>
          </m:sub>
        </m:sSub>
      </m:oMath>
      <w:r>
        <w:t xml:space="preserve"> </w:t>
      </w:r>
      <w:r>
        <w:t xml:space="preserve">is not a recallable item and is not a separate trace.</w:t>
      </w:r>
      <w:r>
        <w:t xml:space="preserve"> </w:t>
      </w:r>
      <w:r>
        <w:t xml:space="preserve">It initializes affective rows of</w:t>
      </w:r>
      <w:r>
        <w:t xml:space="preserve"> </w:t>
      </w:r>
      <m:oMath>
        <m:sSup>
          <m:e>
            <m:r>
              <m:t>M</m:t>
            </m:r>
          </m:e>
          <m:sup>
            <m:r>
              <m:t>F</m:t>
            </m:r>
            <m:r>
              <m:t>C</m:t>
            </m:r>
          </m:sup>
        </m:sSup>
      </m:oMath>
      <w:r>
        <w:t xml:space="preserve"> </w:t>
      </w:r>
      <w:r>
        <w:t xml:space="preserve">so that an item can cue its affective context components:</w:t>
      </w:r>
    </w:p>
    <w:p>
      <w:pPr>
        <w:pStyle w:val="BodyText"/>
      </w:pPr>
      <m:oMathPara>
        <m:oMathParaPr>
          <m:jc m:val="center"/>
        </m:oMathParaPr>
        <m:oMath>
          <m:sSubSup>
            <m:e>
              <m:r>
                <m:t>M</m:t>
              </m:r>
            </m:e>
            <m:sub>
              <m:r>
                <m:t>a</m:t>
              </m:r>
              <m:r>
                <m:t>f</m:t>
              </m:r>
              <m:r>
                <m:t>f</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oMath>
      </m:oMathPara>
    </w:p>
    <w:p>
      <w:pPr>
        <w:pStyle w:val="FirstParagraph"/>
      </w:pPr>
      <w:r>
        <w:t xml:space="preserve">Affective context-to-feature support begins at zero:</w:t>
      </w:r>
    </w:p>
    <w:p>
      <w:pPr>
        <w:pStyle w:val="BodyText"/>
      </w:pPr>
      <m:oMathPara>
        <m:oMathParaPr>
          <m:jc m:val="center"/>
        </m:oMathParaPr>
        <m:oMath>
          <m:sSubSup>
            <m:e>
              <m:r>
                <m:t>M</m:t>
              </m:r>
            </m:e>
            <m:sub>
              <m:r>
                <m:t>a</m:t>
              </m:r>
              <m:r>
                <m:t>f</m:t>
              </m:r>
              <m:r>
                <m:t>f</m:t>
              </m:r>
            </m:sub>
            <m:sup>
              <m:r>
                <m:t>C</m:t>
              </m:r>
              <m:r>
                <m:t>F</m:t>
              </m:r>
            </m:sup>
          </m:sSubSup>
          <m:d>
            <m:dPr>
              <m:begChr m:val="("/>
              <m:sepChr m:val=""/>
              <m:endChr m:val=")"/>
              <m:grow/>
            </m:dPr>
            <m:e>
              <m:r>
                <m:t>i</m:t>
              </m:r>
              <m:r>
                <m:rPr>
                  <m:sty m:val="p"/>
                </m:rPr>
                <m:t>,</m:t>
              </m:r>
              <m:r>
                <m:rPr>
                  <m:sty m:val="p"/>
                </m:rPr>
                <m:t>⋅</m:t>
              </m:r>
            </m:e>
          </m:d>
          <m:r>
            <m:rPr>
              <m:sty m:val="p"/>
            </m:rPr>
            <m:t>=</m:t>
          </m:r>
          <m:r>
            <m:t>0</m:t>
          </m:r>
        </m:oMath>
      </m:oMathPara>
    </w:p>
    <w:p>
      <w:pPr>
        <w:pStyle w:val="FirstParagraph"/>
      </w:pPr>
      <w:r>
        <w:t xml:space="preserve">Thus, affective context can update during experience before it contributes retrieval support.</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affective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affective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affective learning is engaged, the affective components of context receive additional context-to-feature learning:</w:t>
      </w:r>
    </w:p>
    <w:p>
      <w:pPr>
        <w:pStyle w:val="BodyText"/>
      </w:pPr>
      <m:oMathPara>
        <m:oMathParaPr>
          <m:jc m:val="center"/>
        </m:oMathParaPr>
        <m:oMath>
          <m:r>
            <m:t>Δ</m:t>
          </m:r>
          <m:sSubSup>
            <m:e>
              <m:r>
                <m:t>M</m:t>
              </m:r>
            </m:e>
            <m:sub>
              <m:r>
                <m:t>a</m:t>
              </m:r>
              <m:r>
                <m:t>f</m:t>
              </m:r>
              <m:r>
                <m:t>f</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a</m:t>
              </m:r>
              <m:r>
                <m:rPr>
                  <m:sty m:val="p"/>
                </m:rPr>
                <m:t>f</m:t>
              </m:r>
              <m:r>
                <m:rPr>
                  <m:sty m:val="p"/>
                </m:rPr>
                <m:t>f</m:t>
              </m:r>
              <m:r>
                <m:rPr>
                  <m:sty m:val="p"/>
                </m:rPr>
                <m:t>,</m:t>
              </m:r>
              <m:r>
                <m:t>i</m:t>
              </m:r>
            </m:sub>
            <m:sup>
              <m:r>
                <m:rPr>
                  <m:sty m:val="p"/>
                </m:rPr>
                <m:t>⊤</m:t>
              </m:r>
            </m:sup>
          </m:sSubSup>
        </m:oMath>
      </m:oMathPara>
    </w:p>
    <w:p>
      <w:pPr>
        <w:pStyle w:val="FirstParagraph"/>
      </w:pPr>
      <w:r>
        <w:t xml:space="preserve">Here,</w:t>
      </w:r>
      <w:r>
        <w:t xml:space="preserve"> </w:t>
      </w:r>
      <m:oMath>
        <m:sSub>
          <m:e>
            <m:r>
              <m:t>c</m:t>
            </m:r>
          </m:e>
          <m:sub>
            <m:r>
              <m:rPr>
                <m:sty m:val="p"/>
              </m:rPr>
              <m:t>a</m:t>
            </m:r>
            <m:r>
              <m:rPr>
                <m:sty m:val="p"/>
              </m:rPr>
              <m:t>f</m:t>
            </m:r>
            <m:r>
              <m:rPr>
                <m:sty m:val="p"/>
              </m:rPr>
              <m:t>f</m:t>
            </m:r>
            <m:r>
              <m:rPr>
                <m:sty m:val="p"/>
              </m:rPr>
              <m:t>,</m:t>
            </m:r>
            <m:r>
              <m:t>i</m:t>
            </m:r>
          </m:sub>
        </m:sSub>
      </m:oMath>
      <w:r>
        <w:t xml:space="preserve"> </w:t>
      </w:r>
      <w:r>
        <w:t xml:space="preserve">denotes the affective components of context.</w:t>
      </w:r>
      <w:r>
        <w:t xml:space="preserve"> </w:t>
      </w:r>
      <w:r>
        <w:t xml:space="preserve">When affective context-to-feature learning is disabled, affective context does not add retrieval support beyond the ordinary context-to-feature pathway.</w:t>
      </w:r>
      <w:r>
        <w:t xml:space="preserve"> </w:t>
      </w:r>
      <w:r>
        <w:t xml:space="preserve">When film and task items share the marked affective feature and affective context-to-feature learning is enabled, affective context can amplify competition beyond temporal proximity alone.</w:t>
      </w:r>
    </w:p>
    <w:p>
      <w:pPr>
        <w:pStyle w:val="BodyText"/>
      </w:pPr>
      <w:r>
        <w:t xml:space="preserve">The simulations below vary the phase, reminder, retrieval-control, and affective settings described above while keeping the underlying item-context architecture fixed.</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37"/>
    <w:bookmarkEnd w:id="38"/>
    <w:bookmarkStart w:id="49" w:name="simulations"/>
    <w:p>
      <w:pPr>
        <w:pStyle w:val="Heading1"/>
      </w:pPr>
      <w:r>
        <w:t xml:space="preserve">Simulations</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p>
    <w:bookmarkStart w:id="42"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40" name="Picture"/>
            <a:graphic>
              <a:graphicData uri="http://schemas.openxmlformats.org/drawingml/2006/picture">
                <pic:pic>
                  <pic:nvPicPr>
                    <pic:cNvPr descr="figures/interference_mcf_scale_delay16_fit_no_shared_support_side_by_side_spc.png" id="41" name="Picture"/>
                    <pic:cNvPicPr>
                      <a:picLocks noChangeArrowheads="1" noChangeAspect="1"/>
                    </pic:cNvPicPr>
                  </pic:nvPicPr>
                  <pic:blipFill>
                    <a:blip r:embed="rId39"/>
                    <a:stretch>
                      <a:fillRect/>
                    </a:stretch>
                  </pic:blipFill>
                  <pic:spPr bwMode="auto">
                    <a:xfrm>
                      <a:off x="0" y="0"/>
                      <a:ext cx="5943600" cy="2214422"/>
                    </a:xfrm>
                    <a:prstGeom prst="rect">
                      <a:avLst/>
                    </a:prstGeom>
                    <a:noFill/>
                    <a:ln w="9525">
                      <a:noFill/>
                      <a:headEnd/>
                      <a:tailEnd/>
                    </a:ln>
                  </pic:spPr>
                </pic:pic>
              </a:graphicData>
            </a:graphic>
          </wp:inline>
        </w:drawing>
      </w:r>
    </w:p>
    <w:bookmarkEnd w:id="42"/>
    <w:bookmarkStart w:id="43"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interference condition and retrieval mode.</w:t>
      </w:r>
      <w:r>
        <w:t xml:space="preserve"> </w:t>
      </w:r>
      <w:r>
        <w:t xml:space="preserve">The section asks whether the same stored film episode and the same post-film interference manipulation can produce larger impairment in intrusion-like retrieval than in deliberate recall.</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bookmarkEnd w:id="43"/>
    <w:bookmarkStart w:id="44"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intrusion-like retrieval more closely.</w:t>
      </w:r>
    </w:p>
    <w:bookmarkEnd w:id="44"/>
    <w:bookmarkStart w:id="45" w:name="Xd8f441f3cd8f126ee70b8b553c70cb32891d979"/>
    <w:p>
      <w:pPr>
        <w:pStyle w:val="Heading2"/>
      </w:pPr>
      <w:r>
        <w:t xml:space="preserve">Simulation 3: Competitor Strength and Contextual Overlap</w:t>
      </w:r>
    </w:p>
    <w:p>
      <w:pPr>
        <w:pStyle w:val="FirstParagraph"/>
      </w:pPr>
      <w:r>
        <w:t xml:space="preserve">Premise: An interference task becomes effective when it encodes competitors with enough learned support and with associated context states similar enough to film context.</w:t>
      </w:r>
      <w:r>
        <w:t xml:space="preserve"> </w:t>
      </w:r>
      <w:r>
        <w:t xml:space="preserve">This section asks what makes a task Tetris-like in model terms.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matters because competitors are retrievable from film-related context.</w:t>
      </w:r>
      <w:r>
        <w:t xml:space="preserve"> </w:t>
      </w:r>
      <w:r>
        <w:t xml:space="preserve">The affective variant sharpens the boundary condition: stronger affective film encoding can increase baseline film retrieval and reduce vulnerability to mismatched task competitors, whereas affective matching can make strong task items more effective competitors.</w:t>
      </w:r>
    </w:p>
    <w:bookmarkEnd w:id="45"/>
    <w:bookmarkStart w:id="46"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matters because it reinstates film context before competitor encoding.</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bookmarkEnd w:id="46"/>
    <w:bookmarkStart w:id="47"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bookmarkEnd w:id="47"/>
    <w:bookmarkStart w:id="48" w:name="Xd899c74baf6ef599438daabd3dfd1a19bfff423"/>
    <w:p>
      <w:pPr>
        <w:pStyle w:val="Heading2"/>
      </w:pPr>
      <w:r>
        <w:t xml:space="preserve">Simulation 6: Probe-Driven Access in Recognition-Like Tests</w:t>
      </w:r>
    </w:p>
    <w:p>
      <w:pPr>
        <w:pStyle w:val="FirstParagraph"/>
      </w:pPr>
      <w:r>
        <w:t xml:space="preserve">Premise: Tests that supply a film item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p>
    <w:p>
      <w:pPr>
        <w:pStyle w:val="BodyText"/>
      </w:pPr>
      <w:r>
        <w:t xml:space="preserve">Intended text take-away: This section handles tests that supply a film item and recognition-like measures as a probe-driven access case.</w:t>
      </w:r>
      <w:r>
        <w:t xml:space="preserve"> </w:t>
      </w:r>
      <w:r>
        <w:t xml:space="preserve">The claim is that probe-driven access reduces exposure to contextual competition, not that recognition escapes the mechanism in every design or that all voluntary memory has the same protection.</w:t>
      </w:r>
    </w:p>
    <w:bookmarkEnd w:id="48"/>
    <w:bookmarkEnd w:id="49"/>
    <w:bookmarkStart w:id="50" w:name="general-discussion"/>
    <w:p>
      <w:pPr>
        <w:pStyle w:val="Heading1"/>
      </w:pPr>
      <w:r>
        <w:t xml:space="preserve">General Discussion</w:t>
      </w:r>
    </w:p>
    <w:bookmarkEnd w:id="50"/>
    <w:bookmarkStart w:id="121" w:name="references"/>
    <w:p>
      <w:pPr>
        <w:pStyle w:val="Heading1"/>
      </w:pPr>
      <w:r>
        <w:t xml:space="preserve">References</w:t>
      </w:r>
    </w:p>
    <w:bookmarkStart w:id="120" w:name="refs"/>
    <w:bookmarkStart w:id="52"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51">
        <w:r>
          <w:rPr>
            <w:rStyle w:val="Hyperlink"/>
          </w:rPr>
          <w:t xml:space="preserve">https://doi.org/10.1016/j.jpsychires.2023.01.028</w:t>
        </w:r>
      </w:hyperlink>
    </w:p>
    <w:bookmarkEnd w:id="52"/>
    <w:bookmarkStart w:id="54"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53">
        <w:r>
          <w:rPr>
            <w:rStyle w:val="Hyperlink"/>
          </w:rPr>
          <w:t xml:space="preserve">https://doi.org/10.1037/a0033722</w:t>
        </w:r>
      </w:hyperlink>
    </w:p>
    <w:bookmarkEnd w:id="54"/>
    <w:bookmarkStart w:id="56"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55">
        <w:r>
          <w:rPr>
            <w:rStyle w:val="Hyperlink"/>
          </w:rPr>
          <w:t xml:space="preserve">https://doi.org/10.1037/0033-295X.103.4.670</w:t>
        </w:r>
      </w:hyperlink>
    </w:p>
    <w:bookmarkEnd w:id="56"/>
    <w:bookmarkStart w:id="58"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57">
        <w:r>
          <w:rPr>
            <w:rStyle w:val="Hyperlink"/>
          </w:rPr>
          <w:t xml:space="preserve">https://doi.org/10.1037/a0018113</w:t>
        </w:r>
      </w:hyperlink>
    </w:p>
    <w:bookmarkEnd w:id="58"/>
    <w:bookmarkStart w:id="60"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59">
        <w:r>
          <w:rPr>
            <w:rStyle w:val="Hyperlink"/>
          </w:rPr>
          <w:t xml:space="preserve">https://doi.org/10.1037/rev0000334</w:t>
        </w:r>
      </w:hyperlink>
    </w:p>
    <w:bookmarkEnd w:id="60"/>
    <w:bookmarkStart w:id="62"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61">
        <w:r>
          <w:rPr>
            <w:rStyle w:val="Hyperlink"/>
          </w:rPr>
          <w:t xml:space="preserve">https://doi.org/10.1016/j.jbtep.2011.10.008</w:t>
        </w:r>
      </w:hyperlink>
    </w:p>
    <w:bookmarkEnd w:id="62"/>
    <w:bookmarkStart w:id="63"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63"/>
    <w:bookmarkStart w:id="65"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64">
        <w:r>
          <w:rPr>
            <w:rStyle w:val="Hyperlink"/>
          </w:rPr>
          <w:t xml:space="preserve">https://doi.org/10.1016/S0005-7967(99)00123-0</w:t>
        </w:r>
      </w:hyperlink>
    </w:p>
    <w:bookmarkEnd w:id="65"/>
    <w:bookmarkStart w:id="67"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66">
        <w:r>
          <w:rPr>
            <w:rStyle w:val="Hyperlink"/>
          </w:rPr>
          <w:t xml:space="preserve">https://doi.org/10.1016/j.actpsy.2007.11.002</w:t>
        </w:r>
      </w:hyperlink>
    </w:p>
    <w:bookmarkEnd w:id="67"/>
    <w:bookmarkStart w:id="69"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68">
        <w:r>
          <w:rPr>
            <w:rStyle w:val="Hyperlink"/>
          </w:rPr>
          <w:t xml:space="preserve">https://doi.org/10.1037/0096-3445.133.1.3</w:t>
        </w:r>
      </w:hyperlink>
    </w:p>
    <w:bookmarkEnd w:id="69"/>
    <w:bookmarkStart w:id="71"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70">
        <w:r>
          <w:rPr>
            <w:rStyle w:val="Hyperlink"/>
          </w:rPr>
          <w:t xml:space="preserve">https://doi.org/10.1371/journal.pone.0004153</w:t>
        </w:r>
      </w:hyperlink>
    </w:p>
    <w:bookmarkEnd w:id="71"/>
    <w:bookmarkStart w:id="73"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72">
        <w:r>
          <w:rPr>
            <w:rStyle w:val="Hyperlink"/>
          </w:rPr>
          <w:t xml:space="preserve">https://doi.org/10.1371/journal.pone.0013706</w:t>
        </w:r>
      </w:hyperlink>
    </w:p>
    <w:bookmarkEnd w:id="73"/>
    <w:bookmarkStart w:id="75"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74">
        <w:r>
          <w:rPr>
            <w:rStyle w:val="Hyperlink"/>
          </w:rPr>
          <w:t xml:space="preserve">https://doi.org/10.1016/j.brat.2017.03.018</w:t>
        </w:r>
      </w:hyperlink>
    </w:p>
    <w:bookmarkEnd w:id="75"/>
    <w:bookmarkStart w:id="77"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6">
        <w:r>
          <w:rPr>
            <w:rStyle w:val="Hyperlink"/>
          </w:rPr>
          <w:t xml:space="preserve">https://doi.org/10.1006/jmps.2001.1388</w:t>
        </w:r>
      </w:hyperlink>
    </w:p>
    <w:bookmarkEnd w:id="77"/>
    <w:bookmarkStart w:id="78"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78"/>
    <w:bookmarkStart w:id="80"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79">
        <w:r>
          <w:rPr>
            <w:rStyle w:val="Hyperlink"/>
          </w:rPr>
          <w:t xml:space="preserve">https://doi.org/10.1038/mp.2017.23</w:t>
        </w:r>
      </w:hyperlink>
    </w:p>
    <w:bookmarkEnd w:id="80"/>
    <w:bookmarkStart w:id="8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81">
        <w:r>
          <w:rPr>
            <w:rStyle w:val="Hyperlink"/>
          </w:rPr>
          <w:t xml:space="preserve">https://doi.org/10.1016/j.cpr.2018.08.005</w:t>
        </w:r>
      </w:hyperlink>
    </w:p>
    <w:bookmarkEnd w:id="82"/>
    <w:bookmarkStart w:id="8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83">
        <w:r>
          <w:rPr>
            <w:rStyle w:val="Hyperlink"/>
          </w:rPr>
          <w:t xml:space="preserve">https://doi.org/10.1177/0956797615583071</w:t>
        </w:r>
      </w:hyperlink>
    </w:p>
    <w:bookmarkEnd w:id="84"/>
    <w:bookmarkStart w:id="8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85">
        <w:r>
          <w:rPr>
            <w:rStyle w:val="Hyperlink"/>
          </w:rPr>
          <w:t xml:space="preserve">https://doi.org/10.1016/j.cpr.2016.04.010</w:t>
        </w:r>
      </w:hyperlink>
    </w:p>
    <w:bookmarkEnd w:id="86"/>
    <w:bookmarkStart w:id="8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87"/>
    <w:bookmarkStart w:id="89"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88">
        <w:r>
          <w:rPr>
            <w:rStyle w:val="Hyperlink"/>
          </w:rPr>
          <w:t xml:space="preserve">https://doi.org/10.1002/cpp.2489</w:t>
        </w:r>
      </w:hyperlink>
    </w:p>
    <w:bookmarkEnd w:id="89"/>
    <w:bookmarkStart w:id="91"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90">
        <w:r>
          <w:rPr>
            <w:rStyle w:val="Hyperlink"/>
          </w:rPr>
          <w:t xml:space="preserve">https://doi.org/10.1016/j.jbtep.2019.01.006</w:t>
        </w:r>
      </w:hyperlink>
    </w:p>
    <w:bookmarkEnd w:id="91"/>
    <w:bookmarkStart w:id="93"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92">
        <w:r>
          <w:rPr>
            <w:rStyle w:val="Hyperlink"/>
          </w:rPr>
          <w:t xml:space="preserve">https://doi.org/10.1038/nn.2271</w:t>
        </w:r>
      </w:hyperlink>
    </w:p>
    <w:bookmarkEnd w:id="93"/>
    <w:bookmarkStart w:id="9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94">
        <w:r>
          <w:rPr>
            <w:rStyle w:val="Hyperlink"/>
          </w:rPr>
          <w:t xml:space="preserve">https://doi.org/10.1002/acp.1611</w:t>
        </w:r>
      </w:hyperlink>
    </w:p>
    <w:bookmarkEnd w:id="95"/>
    <w:bookmarkStart w:id="9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96">
        <w:r>
          <w:rPr>
            <w:rStyle w:val="Hyperlink"/>
          </w:rPr>
          <w:t xml:space="preserve">https://doi.org/10.1037/xge0000598</w:t>
        </w:r>
      </w:hyperlink>
    </w:p>
    <w:bookmarkEnd w:id="97"/>
    <w:bookmarkStart w:id="9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98">
        <w:r>
          <w:rPr>
            <w:rStyle w:val="Hyperlink"/>
          </w:rPr>
          <w:t xml:space="preserve">https://doi.org/10.1177/2167702621998315</w:t>
        </w:r>
      </w:hyperlink>
    </w:p>
    <w:bookmarkEnd w:id="99"/>
    <w:bookmarkStart w:id="10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00">
        <w:r>
          <w:rPr>
            <w:rStyle w:val="Hyperlink"/>
          </w:rPr>
          <w:t xml:space="preserve">https://doi.org/10.1037/a0039036</w:t>
        </w:r>
      </w:hyperlink>
    </w:p>
    <w:bookmarkEnd w:id="101"/>
    <w:bookmarkStart w:id="103"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2">
        <w:r>
          <w:rPr>
            <w:rStyle w:val="Hyperlink"/>
          </w:rPr>
          <w:t xml:space="preserve">https://doi.org/10.1037/a0014420</w:t>
        </w:r>
      </w:hyperlink>
    </w:p>
    <w:bookmarkEnd w:id="103"/>
    <w:bookmarkStart w:id="105"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04">
        <w:r>
          <w:rPr>
            <w:rStyle w:val="Hyperlink"/>
          </w:rPr>
          <w:t xml:space="preserve">https://doi.org/10.1016/j.neuropsychologia.2009.02.013</w:t>
        </w:r>
      </w:hyperlink>
    </w:p>
    <w:bookmarkEnd w:id="105"/>
    <w:bookmarkStart w:id="107"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06">
        <w:r>
          <w:rPr>
            <w:rStyle w:val="Hyperlink"/>
          </w:rPr>
          <w:t xml:space="preserve">https://doi.org/10.3758/s13423-011-0086-9</w:t>
        </w:r>
      </w:hyperlink>
    </w:p>
    <w:bookmarkEnd w:id="107"/>
    <w:bookmarkStart w:id="109"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08">
        <w:r>
          <w:rPr>
            <w:rStyle w:val="Hyperlink"/>
          </w:rPr>
          <w:t xml:space="preserve">https://doi.org/10.1037/a0013396</w:t>
        </w:r>
      </w:hyperlink>
    </w:p>
    <w:bookmarkEnd w:id="109"/>
    <w:bookmarkStart w:id="11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10">
        <w:r>
          <w:rPr>
            <w:rStyle w:val="Hyperlink"/>
          </w:rPr>
          <w:t xml:space="preserve">https://doi.org/10.1037/rev0000132</w:t>
        </w:r>
      </w:hyperlink>
    </w:p>
    <w:bookmarkEnd w:id="111"/>
    <w:bookmarkStart w:id="113"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12">
        <w:r>
          <w:rPr>
            <w:rStyle w:val="Hyperlink"/>
          </w:rPr>
          <w:t xml:space="preserve">https://doi.org/10.1038/s41562-024-01956-y</w:t>
        </w:r>
      </w:hyperlink>
    </w:p>
    <w:bookmarkEnd w:id="113"/>
    <w:bookmarkStart w:id="115"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14">
        <w:r>
          <w:rPr>
            <w:rStyle w:val="Hyperlink"/>
          </w:rPr>
          <w:t xml:space="preserve">https://doi.org/10.1525/collabra.130791</w:t>
        </w:r>
      </w:hyperlink>
    </w:p>
    <w:bookmarkEnd w:id="115"/>
    <w:bookmarkStart w:id="117"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16">
        <w:r>
          <w:rPr>
            <w:rStyle w:val="Hyperlink"/>
          </w:rPr>
          <w:t xml:space="preserve">https://doi.org/10.1038/s41583-019-0150-4</w:t>
        </w:r>
      </w:hyperlink>
    </w:p>
    <w:bookmarkEnd w:id="117"/>
    <w:bookmarkStart w:id="11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18">
        <w:r>
          <w:rPr>
            <w:rStyle w:val="Hyperlink"/>
          </w:rPr>
          <w:t xml:space="preserve">https://doi.org/10.1037/0278-7393.32.4.792</w:t>
        </w:r>
      </w:hyperlink>
    </w:p>
    <w:bookmarkEnd w:id="119"/>
    <w:bookmarkEnd w:id="120"/>
    <w:bookmarkEnd w:id="1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hyperlink" Id="rId94" Target="https://doi.org/10.1002/acp.1611" TargetMode="External" /><Relationship Type="http://schemas.openxmlformats.org/officeDocument/2006/relationships/hyperlink" Id="rId88" Target="https://doi.org/10.1002/cpp.2489" TargetMode="External" /><Relationship Type="http://schemas.openxmlformats.org/officeDocument/2006/relationships/hyperlink" Id="rId76" Target="https://doi.org/10.1006/jmps.2001.1388" TargetMode="External" /><Relationship Type="http://schemas.openxmlformats.org/officeDocument/2006/relationships/hyperlink" Id="rId64" Target="https://doi.org/10.1016/S0005-7967(99)00123-0" TargetMode="External" /><Relationship Type="http://schemas.openxmlformats.org/officeDocument/2006/relationships/hyperlink" Id="rId66" Target="https://doi.org/10.1016/j.actpsy.2007.11.002" TargetMode="External" /><Relationship Type="http://schemas.openxmlformats.org/officeDocument/2006/relationships/hyperlink" Id="rId74" Target="https://doi.org/10.1016/j.brat.2017.03.018" TargetMode="External" /><Relationship Type="http://schemas.openxmlformats.org/officeDocument/2006/relationships/hyperlink" Id="rId85" Target="https://doi.org/10.1016/j.cpr.2016.04.010" TargetMode="External" /><Relationship Type="http://schemas.openxmlformats.org/officeDocument/2006/relationships/hyperlink" Id="rId81" Target="https://doi.org/10.1016/j.cpr.2018.08.005" TargetMode="External" /><Relationship Type="http://schemas.openxmlformats.org/officeDocument/2006/relationships/hyperlink" Id="rId61" Target="https://doi.org/10.1016/j.jbtep.2011.10.008" TargetMode="External" /><Relationship Type="http://schemas.openxmlformats.org/officeDocument/2006/relationships/hyperlink" Id="rId90" Target="https://doi.org/10.1016/j.jbtep.2019.01.006" TargetMode="External" /><Relationship Type="http://schemas.openxmlformats.org/officeDocument/2006/relationships/hyperlink" Id="rId51" Target="https://doi.org/10.1016/j.jpsychires.2023.01.028" TargetMode="External" /><Relationship Type="http://schemas.openxmlformats.org/officeDocument/2006/relationships/hyperlink" Id="rId104" Target="https://doi.org/10.1016/j.neuropsychologia.2009.02.013" TargetMode="External" /><Relationship Type="http://schemas.openxmlformats.org/officeDocument/2006/relationships/hyperlink" Id="rId55" Target="https://doi.org/10.1037/0033-295X.103.4.670" TargetMode="External" /><Relationship Type="http://schemas.openxmlformats.org/officeDocument/2006/relationships/hyperlink" Id="rId68" Target="https://doi.org/10.1037/0096-3445.133.1.3" TargetMode="External" /><Relationship Type="http://schemas.openxmlformats.org/officeDocument/2006/relationships/hyperlink" Id="rId118" Target="https://doi.org/10.1037/0278-7393.32.4.792" TargetMode="External" /><Relationship Type="http://schemas.openxmlformats.org/officeDocument/2006/relationships/hyperlink" Id="rId108" Target="https://doi.org/10.1037/a0013396" TargetMode="External" /><Relationship Type="http://schemas.openxmlformats.org/officeDocument/2006/relationships/hyperlink" Id="rId102" Target="https://doi.org/10.1037/a0014420" TargetMode="External" /><Relationship Type="http://schemas.openxmlformats.org/officeDocument/2006/relationships/hyperlink" Id="rId57" Target="https://doi.org/10.1037/a0018113" TargetMode="External" /><Relationship Type="http://schemas.openxmlformats.org/officeDocument/2006/relationships/hyperlink" Id="rId53" Target="https://doi.org/10.1037/a0033722" TargetMode="External" /><Relationship Type="http://schemas.openxmlformats.org/officeDocument/2006/relationships/hyperlink" Id="rId100" Target="https://doi.org/10.1037/a0039036" TargetMode="External" /><Relationship Type="http://schemas.openxmlformats.org/officeDocument/2006/relationships/hyperlink" Id="rId110" Target="https://doi.org/10.1037/rev0000132" TargetMode="External" /><Relationship Type="http://schemas.openxmlformats.org/officeDocument/2006/relationships/hyperlink" Id="rId59" Target="https://doi.org/10.1037/rev0000334" TargetMode="External" /><Relationship Type="http://schemas.openxmlformats.org/officeDocument/2006/relationships/hyperlink" Id="rId96" Target="https://doi.org/10.1037/xge0000598" TargetMode="External" /><Relationship Type="http://schemas.openxmlformats.org/officeDocument/2006/relationships/hyperlink" Id="rId79" Target="https://doi.org/10.1038/mp.2017.23" TargetMode="External" /><Relationship Type="http://schemas.openxmlformats.org/officeDocument/2006/relationships/hyperlink" Id="rId92" Target="https://doi.org/10.1038/nn.2271" TargetMode="External" /><Relationship Type="http://schemas.openxmlformats.org/officeDocument/2006/relationships/hyperlink" Id="rId112" Target="https://doi.org/10.1038/s41562-024-01956-y" TargetMode="External" /><Relationship Type="http://schemas.openxmlformats.org/officeDocument/2006/relationships/hyperlink" Id="rId116" Target="https://doi.org/10.1038/s41583-019-0150-4" TargetMode="External" /><Relationship Type="http://schemas.openxmlformats.org/officeDocument/2006/relationships/hyperlink" Id="rId83" Target="https://doi.org/10.1177/0956797615583071" TargetMode="External" /><Relationship Type="http://schemas.openxmlformats.org/officeDocument/2006/relationships/hyperlink" Id="rId98" Target="https://doi.org/10.1177/2167702621998315" TargetMode="External" /><Relationship Type="http://schemas.openxmlformats.org/officeDocument/2006/relationships/hyperlink" Id="rId70" Target="https://doi.org/10.1371/journal.pone.0004153" TargetMode="External" /><Relationship Type="http://schemas.openxmlformats.org/officeDocument/2006/relationships/hyperlink" Id="rId72" Target="https://doi.org/10.1371/journal.pone.0013706" TargetMode="External" /><Relationship Type="http://schemas.openxmlformats.org/officeDocument/2006/relationships/hyperlink" Id="rId114" Target="https://doi.org/10.1525/collabra.130791" TargetMode="External" /><Relationship Type="http://schemas.openxmlformats.org/officeDocument/2006/relationships/hyperlink" Id="rId106"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acp.1611" TargetMode="External" /><Relationship Type="http://schemas.openxmlformats.org/officeDocument/2006/relationships/hyperlink" Id="rId88" Target="https://doi.org/10.1002/cpp.2489" TargetMode="External" /><Relationship Type="http://schemas.openxmlformats.org/officeDocument/2006/relationships/hyperlink" Id="rId76" Target="https://doi.org/10.1006/jmps.2001.1388" TargetMode="External" /><Relationship Type="http://schemas.openxmlformats.org/officeDocument/2006/relationships/hyperlink" Id="rId64" Target="https://doi.org/10.1016/S0005-7967(99)00123-0" TargetMode="External" /><Relationship Type="http://schemas.openxmlformats.org/officeDocument/2006/relationships/hyperlink" Id="rId66" Target="https://doi.org/10.1016/j.actpsy.2007.11.002" TargetMode="External" /><Relationship Type="http://schemas.openxmlformats.org/officeDocument/2006/relationships/hyperlink" Id="rId74" Target="https://doi.org/10.1016/j.brat.2017.03.018" TargetMode="External" /><Relationship Type="http://schemas.openxmlformats.org/officeDocument/2006/relationships/hyperlink" Id="rId85" Target="https://doi.org/10.1016/j.cpr.2016.04.010" TargetMode="External" /><Relationship Type="http://schemas.openxmlformats.org/officeDocument/2006/relationships/hyperlink" Id="rId81" Target="https://doi.org/10.1016/j.cpr.2018.08.005" TargetMode="External" /><Relationship Type="http://schemas.openxmlformats.org/officeDocument/2006/relationships/hyperlink" Id="rId61" Target="https://doi.org/10.1016/j.jbtep.2011.10.008" TargetMode="External" /><Relationship Type="http://schemas.openxmlformats.org/officeDocument/2006/relationships/hyperlink" Id="rId90" Target="https://doi.org/10.1016/j.jbtep.2019.01.006" TargetMode="External" /><Relationship Type="http://schemas.openxmlformats.org/officeDocument/2006/relationships/hyperlink" Id="rId51" Target="https://doi.org/10.1016/j.jpsychires.2023.01.028" TargetMode="External" /><Relationship Type="http://schemas.openxmlformats.org/officeDocument/2006/relationships/hyperlink" Id="rId104" Target="https://doi.org/10.1016/j.neuropsychologia.2009.02.013" TargetMode="External" /><Relationship Type="http://schemas.openxmlformats.org/officeDocument/2006/relationships/hyperlink" Id="rId55" Target="https://doi.org/10.1037/0033-295X.103.4.670" TargetMode="External" /><Relationship Type="http://schemas.openxmlformats.org/officeDocument/2006/relationships/hyperlink" Id="rId68" Target="https://doi.org/10.1037/0096-3445.133.1.3" TargetMode="External" /><Relationship Type="http://schemas.openxmlformats.org/officeDocument/2006/relationships/hyperlink" Id="rId118" Target="https://doi.org/10.1037/0278-7393.32.4.792" TargetMode="External" /><Relationship Type="http://schemas.openxmlformats.org/officeDocument/2006/relationships/hyperlink" Id="rId108" Target="https://doi.org/10.1037/a0013396" TargetMode="External" /><Relationship Type="http://schemas.openxmlformats.org/officeDocument/2006/relationships/hyperlink" Id="rId102" Target="https://doi.org/10.1037/a0014420" TargetMode="External" /><Relationship Type="http://schemas.openxmlformats.org/officeDocument/2006/relationships/hyperlink" Id="rId57" Target="https://doi.org/10.1037/a0018113" TargetMode="External" /><Relationship Type="http://schemas.openxmlformats.org/officeDocument/2006/relationships/hyperlink" Id="rId53" Target="https://doi.org/10.1037/a0033722" TargetMode="External" /><Relationship Type="http://schemas.openxmlformats.org/officeDocument/2006/relationships/hyperlink" Id="rId100" Target="https://doi.org/10.1037/a0039036" TargetMode="External" /><Relationship Type="http://schemas.openxmlformats.org/officeDocument/2006/relationships/hyperlink" Id="rId110" Target="https://doi.org/10.1037/rev0000132" TargetMode="External" /><Relationship Type="http://schemas.openxmlformats.org/officeDocument/2006/relationships/hyperlink" Id="rId59" Target="https://doi.org/10.1037/rev0000334" TargetMode="External" /><Relationship Type="http://schemas.openxmlformats.org/officeDocument/2006/relationships/hyperlink" Id="rId96" Target="https://doi.org/10.1037/xge0000598" TargetMode="External" /><Relationship Type="http://schemas.openxmlformats.org/officeDocument/2006/relationships/hyperlink" Id="rId79" Target="https://doi.org/10.1038/mp.2017.23" TargetMode="External" /><Relationship Type="http://schemas.openxmlformats.org/officeDocument/2006/relationships/hyperlink" Id="rId92" Target="https://doi.org/10.1038/nn.2271" TargetMode="External" /><Relationship Type="http://schemas.openxmlformats.org/officeDocument/2006/relationships/hyperlink" Id="rId112" Target="https://doi.org/10.1038/s41562-024-01956-y" TargetMode="External" /><Relationship Type="http://schemas.openxmlformats.org/officeDocument/2006/relationships/hyperlink" Id="rId116" Target="https://doi.org/10.1038/s41583-019-0150-4" TargetMode="External" /><Relationship Type="http://schemas.openxmlformats.org/officeDocument/2006/relationships/hyperlink" Id="rId83" Target="https://doi.org/10.1177/0956797615583071" TargetMode="External" /><Relationship Type="http://schemas.openxmlformats.org/officeDocument/2006/relationships/hyperlink" Id="rId98" Target="https://doi.org/10.1177/2167702621998315" TargetMode="External" /><Relationship Type="http://schemas.openxmlformats.org/officeDocument/2006/relationships/hyperlink" Id="rId70" Target="https://doi.org/10.1371/journal.pone.0004153" TargetMode="External" /><Relationship Type="http://schemas.openxmlformats.org/officeDocument/2006/relationships/hyperlink" Id="rId72" Target="https://doi.org/10.1371/journal.pone.0013706" TargetMode="External" /><Relationship Type="http://schemas.openxmlformats.org/officeDocument/2006/relationships/hyperlink" Id="rId114" Target="https://doi.org/10.1525/collabra.130791" TargetMode="External" /><Relationship Type="http://schemas.openxmlformats.org/officeDocument/2006/relationships/hyperlink" Id="rId106"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2026-05-22T10:29:39Z</dcterms:created>
  <dcterms:modified xsi:type="dcterms:W3CDTF">2026-05-22T10:29:39Z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