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1.png" ContentType="image/png"/>
  <Override PartName="/word/media/rId28.png" ContentType="image/png"/>
  <Override PartName="/word/media/rId31.png" ContentType="image/png"/>
  <Override PartName="/word/media/rId41.png" ContentType="image/png"/>
  <Override PartName="/word/media/rId38.png" ContentType="image/png"/>
  <Override PartName="/word/media/rId35.png" ContentType="image/png"/>
  <Override PartName="/word/media/rId45.png" ContentType="image/png"/>
  <Override PartName="/word/media/rId51.png" ContentType="image/png"/>
  <Override PartName="/word/media/rId48.png" ContentType="image/png"/>
  <Override PartName="/word/media/rId54.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retrieved-context account of selective interference in intrusive and voluntary remembering</w:t>
      </w:r>
    </w:p>
    <w:p>
      <w:pPr>
        <w:pStyle w:val="Author"/>
      </w:pPr>
      <w:r>
        <w:t xml:space="preserve">Jordan B Gunn</w:t>
      </w:r>
    </w:p>
    <w:bookmarkStart w:id="20" w:name="abstract"/>
    <w:p>
      <w:pPr>
        <w:pStyle w:val="Heading1"/>
      </w:pPr>
      <w:r>
        <w:t xml:space="preserve">Abstract</w:t>
      </w:r>
    </w:p>
    <w:p>
      <w:pPr>
        <w:pStyle w:val="FirstParagraph"/>
      </w:pPr>
      <w:r>
        <w:t xml:space="preserve">In the trauma-film paradigm, a visuospatial intervention task performed after a film reminder can reduce the frequency of film intrusions while leaving voluntary memory relatively intact.</w:t>
      </w:r>
      <w:r>
        <w:t xml:space="preserve"> </w:t>
      </w:r>
      <w:r>
        <w:t xml:space="preserve">This selective interference effect is often treated as evidence that involuntary and deliberate remembering depend on different memory representations.</w:t>
      </w:r>
      <w:r>
        <w:t xml:space="preserve"> </w:t>
      </w:r>
      <w:r>
        <w:t xml:space="preserve">We propose instead that the dissociation can reflect differences in how retrieval is cued and controlled.</w:t>
      </w:r>
      <w:r>
        <w:t xml:space="preserve"> </w:t>
      </w:r>
      <w:r>
        <w:t xml:space="preserve">We implement this account in an emotional Context Maintenance and Retrieval (eCMR) model that represents film, reminder, and task events and predicts sequences of film and non-film recall events.</w:t>
      </w:r>
      <w:r>
        <w:t xml:space="preserve"> </w:t>
      </w:r>
      <w:r>
        <w:t xml:space="preserve">In the model, a film reminder reinstates film-associated context before the task.</w:t>
      </w:r>
      <w:r>
        <w:t xml:space="preserve"> </w:t>
      </w:r>
      <w:r>
        <w:t xml:space="preserve">Task items are then linked to that context, so later film-associated context can cue task competitors as well as film items.</w:t>
      </w:r>
      <w:r>
        <w:t xml:space="preserve"> </w:t>
      </w:r>
      <w:r>
        <w:t xml:space="preserve">Deliberate recall is less affected when a maintained film-category cue gives film candidates an additional source of support without equally supporting task competitors.</w:t>
      </w:r>
      <w:r>
        <w:t xml:space="preserve"> </w:t>
      </w:r>
      <w:r>
        <w:t xml:space="preserve">In tasks like recognition, the test presents the item, so the model evaluates the item’s fit to context instead of selecting among film and task candidates.</w:t>
      </w:r>
      <w:r>
        <w:t xml:space="preserve"> </w:t>
      </w:r>
      <w:r>
        <w:t xml:space="preserve">This comparison can therefore make voluntary memory appear spared because of test format rather than because voluntary remembering is generally unaffected.</w:t>
      </w:r>
      <w:r>
        <w:t xml:space="preserve"> </w:t>
      </w:r>
      <w:r>
        <w:t xml:space="preserve">Interpreting selective interference this way motivates better-matched tests of intrusive and voluntary remembering and situates trauma-film findings within a broader computational account of episodic retrieval.</w:t>
      </w:r>
    </w:p>
    <w:p>
      <w:r>
        <w:br w:type="page"/>
      </w:r>
    </w:p>
    <w:bookmarkEnd w:id="20"/>
    <w:bookmarkStart w:id="27" w:name="introduction"/>
    <w:p>
      <w:pPr>
        <w:pStyle w:val="Heading1"/>
      </w:pPr>
      <w:r>
        <w:t xml:space="preserve">Introduction</w:t>
      </w:r>
    </w:p>
    <w:p>
      <w:pPr>
        <w:pStyle w:val="FirstParagraph"/>
      </w:pPr>
      <w:r>
        <w:drawing>
          <wp:inline>
            <wp:extent cx="5334000" cy="4327349"/>
            <wp:effectExtent b="0" l="0" r="0" t="0"/>
            <wp:docPr descr="" title="" id="22" name="Picture"/>
            <a:graphic>
              <a:graphicData uri="http://schemas.openxmlformats.org/drawingml/2006/picture">
                <pic:pic>
                  <pic:nvPicPr>
                    <pic:cNvPr descr="../work/empirical_target/empirical_target_composite.png" id="23" name="Picture"/>
                    <pic:cNvPicPr>
                      <a:picLocks noChangeArrowheads="1" noChangeAspect="1"/>
                    </pic:cNvPicPr>
                  </pic:nvPicPr>
                  <pic:blipFill>
                    <a:blip r:embed="rId21"/>
                    <a:stretch>
                      <a:fillRect/>
                    </a:stretch>
                  </pic:blipFill>
                  <pic:spPr bwMode="auto">
                    <a:xfrm>
                      <a:off x="0" y="0"/>
                      <a:ext cx="5334000" cy="4327349"/>
                    </a:xfrm>
                    <a:prstGeom prst="rect">
                      <a:avLst/>
                    </a:prstGeom>
                    <a:noFill/>
                    <a:ln w="9525">
                      <a:noFill/>
                      <a:headEnd/>
                      <a:tailEnd/>
                    </a:ln>
                  </pic:spPr>
                </pic:pic>
              </a:graphicData>
            </a:graphic>
          </wp:inline>
        </w:drawing>
      </w:r>
    </w:p>
    <w:p>
      <w:pPr>
        <w:pStyle w:val="BodyText"/>
      </w:pPr>
      <w:r>
        <w:t xml:space="preserve">Figure 1.</w:t>
      </w:r>
      <w:r>
        <w:t xml:space="preserve"> </w:t>
      </w:r>
      <w:r>
        <w:rPr>
          <w:b/>
          <w:bCs/>
        </w:rPr>
        <w:t xml:space="preserve">Modeled trauma-film paradigm and schematic selective-interference pattern.</w:t>
      </w:r>
      <w:r>
        <w:t xml:space="preserve"> </w:t>
      </w:r>
      <w:r>
        <w:t xml:space="preserve">(A) The modeled trauma-film paradigm includes film encoding, an intervening delay, a possible pre-task film reminder, an intervening task, a post-task delay, and a later test of unguided or deliberate film recall. (B) The qualitative pattern targeted by the recall simulations is summarized as an 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 visuospatial task condition. The visuospatial task condition produces the largest reduction in unguided film recall when it follows a film reminder, whereas deliberate film recall shows a smaller reduction under the same conditions. Bars are schematic and do not plot empirical counts, fitted values, or model output.</w:t>
      </w:r>
    </w:p>
    <w:p>
      <w:r>
        <w:br w:type="page"/>
      </w:r>
    </w:p>
    <w:p>
      <w:pPr>
        <w:pStyle w:val="BodyText"/>
      </w:pPr>
      <w:r>
        <w:drawing>
          <wp:inline>
            <wp:extent cx="5334000" cy="5425926"/>
            <wp:effectExtent b="0" l="0" r="0" t="0"/>
            <wp:docPr descr="" title="" id="25" name="Picture"/>
            <a:graphic>
              <a:graphicData uri="http://schemas.openxmlformats.org/drawingml/2006/picture">
                <pic:pic>
                  <pic:nvPicPr>
                    <pic:cNvPr descr="../work/empirical_target/empirical_selective_interference_examples.png" id="26" name="Picture"/>
                    <pic:cNvPicPr>
                      <a:picLocks noChangeArrowheads="1" noChangeAspect="1"/>
                    </pic:cNvPicPr>
                  </pic:nvPicPr>
                  <pic:blipFill>
                    <a:blip r:embed="rId24"/>
                    <a:stretch>
                      <a:fillRect/>
                    </a:stretch>
                  </pic:blipFill>
                  <pic:spPr bwMode="auto">
                    <a:xfrm>
                      <a:off x="0" y="0"/>
                      <a:ext cx="5334000" cy="5425926"/>
                    </a:xfrm>
                    <a:prstGeom prst="rect">
                      <a:avLst/>
                    </a:prstGeom>
                    <a:noFill/>
                    <a:ln w="9525">
                      <a:noFill/>
                      <a:headEnd/>
                      <a:tailEnd/>
                    </a:ln>
                  </pic:spPr>
                </pic:pic>
              </a:graphicData>
            </a:graphic>
          </wp:inline>
        </w:drawing>
      </w:r>
    </w:p>
    <w:p>
      <w:pPr>
        <w:pStyle w:val="BodyText"/>
      </w:pPr>
      <w:r>
        <w:t xml:space="preserve">Figure 2.</w:t>
      </w:r>
      <w:r>
        <w:t xml:space="preserve"> </w:t>
      </w:r>
      <w:r>
        <w:rPr>
          <w:b/>
          <w:bCs/>
        </w:rPr>
        <w:t xml:space="preserve">Empirical tests of selective interference across retrieval formats.</w:t>
      </w:r>
      <w:r>
        <w:t xml:space="preserve"> </w:t>
      </w:r>
      <w:r>
        <w:t xml:space="preserve">Rows show selected studies that pair intrusion-like or involuntary-memory measures with different deliberate-memory tests: diary intrusions with recognition, diary intrusions with free recall, laboratory intrusion reports with recognition, and closely matched laboratory reports under involuntary and voluntary retrieval instructions. Column headings are bridge labels for the theoretical contrast, and panel titles name the empirical measure used in each study. The lower rows both use laboratory intrusion/report tasks; the McConnell row adds a voluntary-report version of the same laboratory reporting format. Gray bars indicate the study-specific comparison/control condition, such as rest or auditory control, and orange bars indicate the visuospatial task condition. Bracket labels summarize the plotted contrast rather than a uniform significance test. Bar heights reproduce reported condition means in native study units, so y-axis scales differ across outcomes.</w:t>
      </w:r>
    </w:p>
    <w:p>
      <w:r>
        <w:br w:type="page"/>
      </w:r>
    </w:p>
    <w:bookmarkEnd w:id="27"/>
    <w:bookmarkStart w:id="34" w:name="Xc30ecb24643046c4752102619295de1bc2871c8"/>
    <w:p>
      <w:pPr>
        <w:pStyle w:val="Heading1"/>
      </w:pPr>
      <w:r>
        <w:t xml:space="preserve">A Retrieved-Context Account of Selective Interference</w:t>
      </w:r>
    </w:p>
    <w:p>
      <w:pPr>
        <w:pStyle w:val="FirstParagraph"/>
      </w:pPr>
      <w:r>
        <w:drawing>
          <wp:inline>
            <wp:extent cx="5334000" cy="4291032"/>
            <wp:effectExtent b="0" l="0" r="0" t="0"/>
            <wp:docPr descr="" title="" id="29" name="Picture"/>
            <a:graphic>
              <a:graphicData uri="http://schemas.openxmlformats.org/drawingml/2006/picture">
                <pic:pic>
                  <pic:nvPicPr>
                    <pic:cNvPr descr="../work/retrieved_context_account/retrieved_context_encoding_associations_composite.png" id="30" name="Picture"/>
                    <pic:cNvPicPr>
                      <a:picLocks noChangeArrowheads="1" noChangeAspect="1"/>
                    </pic:cNvPicPr>
                  </pic:nvPicPr>
                  <pic:blipFill>
                    <a:blip r:embed="rId28"/>
                    <a:stretch>
                      <a:fillRect/>
                    </a:stretch>
                  </pic:blipFill>
                  <pic:spPr bwMode="auto">
                    <a:xfrm>
                      <a:off x="0" y="0"/>
                      <a:ext cx="5334000" cy="4291032"/>
                    </a:xfrm>
                    <a:prstGeom prst="rect">
                      <a:avLst/>
                    </a:prstGeom>
                    <a:noFill/>
                    <a:ln w="9525">
                      <a:noFill/>
                      <a:headEnd/>
                      <a:tailEnd/>
                    </a:ln>
                  </pic:spPr>
                </pic:pic>
              </a:graphicData>
            </a:graphic>
          </wp:inline>
        </w:drawing>
      </w:r>
    </w:p>
    <w:p>
      <w:pPr>
        <w:pStyle w:val="BodyText"/>
      </w:pPr>
      <w:r>
        <w:t xml:space="preserve">Figure 3.</w:t>
      </w:r>
      <w:r>
        <w:t xml:space="preserve"> </w:t>
      </w:r>
      <w:r>
        <w:rPr>
          <w:b/>
          <w:bCs/>
        </w:rPr>
        <w:t xml:space="preserve">Encoding and associative structure in the retrieved-context account.</w:t>
      </w:r>
      <w:r>
        <w:t xml:space="preserve"> </w:t>
      </w:r>
      <w:r>
        <w:t xml:space="preserve">(A) The model stores bidirectional item-context associations. Context-to-feature associations cue candidate items from the current context, and feature-to-context associations reinstate context when an item is recalled or when a reminder or test cue is presented. (B) The interference manipulation changes which context states task items are linked to during encoding. Without a pre-task reminder, task items are encoded after context has drifted away from the film. With a pre-task film reminder, film-associated context is reinstated before task encoding, so task items are learned while that context remains active. Thus, the same context that can cue film items can also cue task competitors during later retrieval. When task encoding is strong, those task items become stronger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t>
      </w:r>
    </w:p>
    <w:p>
      <w:r>
        <w:br w:type="page"/>
      </w:r>
    </w:p>
    <w:p>
      <w:pPr>
        <w:pStyle w:val="BodyText"/>
      </w:pPr>
      <w:r>
        <w:drawing>
          <wp:inline>
            <wp:extent cx="5334000" cy="4043058"/>
            <wp:effectExtent b="0" l="0" r="0" t="0"/>
            <wp:docPr descr="" title="" id="32" name="Picture"/>
            <a:graphic>
              <a:graphicData uri="http://schemas.openxmlformats.org/drawingml/2006/picture">
                <pic:pic>
                  <pic:nvPicPr>
                    <pic:cNvPr descr="../work/retrieved_context_account/retrieved_context_retrieval_operations_composite.png" id="33" name="Picture"/>
                    <pic:cNvPicPr>
                      <a:picLocks noChangeArrowheads="1" noChangeAspect="1"/>
                    </pic:cNvPicPr>
                  </pic:nvPicPr>
                  <pic:blipFill>
                    <a:blip r:embed="rId31"/>
                    <a:stretch>
                      <a:fillRect/>
                    </a:stretch>
                  </pic:blipFill>
                  <pic:spPr bwMode="auto">
                    <a:xfrm>
                      <a:off x="0" y="0"/>
                      <a:ext cx="5334000" cy="4043058"/>
                    </a:xfrm>
                    <a:prstGeom prst="rect">
                      <a:avLst/>
                    </a:prstGeom>
                    <a:noFill/>
                    <a:ln w="9525">
                      <a:noFill/>
                      <a:headEnd/>
                      <a:tailEnd/>
                    </a:ln>
                  </pic:spPr>
                </pic:pic>
              </a:graphicData>
            </a:graphic>
          </wp:inline>
        </w:drawing>
      </w:r>
    </w:p>
    <w:p>
      <w:pPr>
        <w:pStyle w:val="BodyText"/>
      </w:pPr>
      <w:r>
        <w:t xml:space="preserve">Figure 4.</w:t>
      </w:r>
      <w:r>
        <w:t xml:space="preserve"> </w:t>
      </w:r>
      <w:r>
        <w:rPr>
          <w:b/>
          <w:bCs/>
        </w:rPr>
        <w:t xml:space="preserve">Retrieval operations in the retrieved-context account.</w:t>
      </w:r>
      <w:r>
        <w:t xml:space="preserve"> </w:t>
      </w:r>
      <w:r>
        <w:t xml:space="preserve">(A)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(B) During context-to-feature sampling, ongoing context can support film items and task competitors, while a maintained film-category cue adds support only to film candidates. (C)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r>
        <w:br w:type="page"/>
      </w:r>
    </w:p>
    <w:bookmarkEnd w:id="34"/>
    <w:bookmarkStart w:id="44" w:name="X0b57449337501b368012fcfcd473e33f3217151"/>
    <w:p>
      <w:pPr>
        <w:pStyle w:val="Heading1"/>
      </w:pPr>
      <w:r>
        <w:t xml:space="preserve">Simulation 1: Task Encoding and Context Similarity</w:t>
      </w:r>
    </w:p>
    <w:p>
      <w:pPr>
        <w:pStyle w:val="FirstParagraph"/>
      </w:pPr>
      <w:r>
        <w:drawing>
          <wp:inline>
            <wp:extent cx="5334000" cy="4714264"/>
            <wp:effectExtent b="0" l="0" r="0" t="0"/>
            <wp:docPr descr="" title="" id="36" name="Picture"/>
            <a:graphic>
              <a:graphicData uri="http://schemas.openxmlformats.org/drawingml/2006/picture">
                <pic:pic>
                  <pic:nvPicPr>
                    <pic:cNvPr descr="../work/simulation1_unguided_cued/simulation1_unguided_cued_sequence_summary.png" id="37" name="Picture"/>
                    <pic:cNvPicPr>
                      <a:picLocks noChangeArrowheads="1" noChangeAspect="1"/>
                    </pic:cNvPicPr>
                  </pic:nvPicPr>
                  <pic:blipFill>
                    <a:blip r:embed="rId35"/>
                    <a:stretch>
                      <a:fillRect/>
                    </a:stretch>
                  </pic:blipFill>
                  <pic:spPr bwMode="auto">
                    <a:xfrm>
                      <a:off x="0" y="0"/>
                      <a:ext cx="5334000" cy="4714264"/>
                    </a:xfrm>
                    <a:prstGeom prst="rect">
                      <a:avLst/>
                    </a:prstGeom>
                    <a:noFill/>
                    <a:ln w="9525">
                      <a:noFill/>
                      <a:headEnd/>
                      <a:tailEnd/>
                    </a:ln>
                  </pic:spPr>
                </pic:pic>
              </a:graphicData>
            </a:graphic>
          </wp:inline>
        </w:drawing>
      </w:r>
    </w:p>
    <w:p>
      <w:pPr>
        <w:pStyle w:val="BodyText"/>
      </w:pPr>
      <w:r>
        <w:t xml:space="preserve">Figure 5.</w:t>
      </w:r>
      <w:r>
        <w:t xml:space="preserve"> </w:t>
      </w:r>
      <w:r>
        <w:rPr>
          <w:b/>
          <w:bCs/>
        </w:rPr>
        <w:t xml:space="preserve">Simulation 1: unguided film recall by reminder condition and task encoding strength.</w:t>
      </w:r>
      <w:r>
        <w:t xml:space="preserve"> </w:t>
      </w:r>
      <w:r>
        <w:t xml:space="preserve">Reminder condition and task encoding strength were crossed while retrieval mode was held unguided; weak film cues were supplied periodically during recall in every condition. (A)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(B)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r>
        <w:br w:type="page"/>
      </w:r>
    </w:p>
    <w:p>
      <w:pPr>
        <w:pStyle w:val="BodyText"/>
      </w:pPr>
      <w:r>
        <w:drawing>
          <wp:inline>
            <wp:extent cx="5334000" cy="5016472"/>
            <wp:effectExtent b="0" l="0" r="0" t="0"/>
            <wp:docPr descr="" title="" id="39" name="Picture"/>
            <a:graphic>
              <a:graphicData uri="http://schemas.openxmlformats.org/drawingml/2006/picture">
                <pic:pic>
                  <pic:nvPicPr>
                    <pic:cNvPr descr="../work/simulation1_unguided_cued/simulation1_unguided_cued_recall_distributions.png" id="40" name="Picture"/>
                    <pic:cNvPicPr>
                      <a:picLocks noChangeArrowheads="1" noChangeAspect="1"/>
                    </pic:cNvPicPr>
                  </pic:nvPicPr>
                  <pic:blipFill>
                    <a:blip r:embed="rId38"/>
                    <a:stretch>
                      <a:fillRect/>
                    </a:stretch>
                  </pic:blipFill>
                  <pic:spPr bwMode="auto">
                    <a:xfrm>
                      <a:off x="0" y="0"/>
                      <a:ext cx="5334000" cy="5016472"/>
                    </a:xfrm>
                    <a:prstGeom prst="rect">
                      <a:avLst/>
                    </a:prstGeom>
                    <a:noFill/>
                    <a:ln w="9525">
                      <a:noFill/>
                      <a:headEnd/>
                      <a:tailEnd/>
                    </a:ln>
                  </pic:spPr>
                </pic:pic>
              </a:graphicData>
            </a:graphic>
          </wp:inline>
        </w:drawing>
      </w:r>
    </w:p>
    <w:p>
      <w:pPr>
        <w:pStyle w:val="BodyText"/>
      </w:pPr>
      <w:r>
        <w:t xml:space="preserve">Figure 6.</w:t>
      </w:r>
      <w:r>
        <w:t xml:space="preserve"> </w:t>
      </w:r>
      <w:r>
        <w:rPr>
          <w:b/>
          <w:bCs/>
        </w:rPr>
        <w:t xml:space="preserve">Simulation 1: reminder-linked task encoding redistributes recall probability by encoded position.</w:t>
      </w:r>
      <w:r>
        <w:t xml:space="preserve"> </w:t>
      </w:r>
      <w:r>
        <w:t xml:space="preserve">Reminder condition and task encoding strength were crossed while retrieval was held unguided; weak film cues were supplied periodically during recall in all conditions. (A) Without a pre-task film reminder, recall probability by encoded position changes only modestly when task encoding is strengthened. (B)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r>
        <w:br w:type="page"/>
      </w:r>
    </w:p>
    <w:p>
      <w:pPr>
        <w:pStyle w:val="BodyText"/>
      </w:pPr>
      <w:r>
        <w:drawing>
          <wp:inline>
            <wp:extent cx="5334000" cy="5080000"/>
            <wp:effectExtent b="0" l="0" r="0" t="0"/>
            <wp:docPr descr="" title="" id="42" name="Picture"/>
            <a:graphic>
              <a:graphicData uri="http://schemas.openxmlformats.org/drawingml/2006/picture">
                <pic:pic>
                  <pic:nvPicPr>
                    <pic:cNvPr descr="../work/simulation1_unguided_cued/simulation1_unguided_cued_context_overlap.png" id="43" name="Picture"/>
                    <pic:cNvPicPr>
                      <a:picLocks noChangeArrowheads="1" noChangeAspect="1"/>
                    </pic:cNvPicPr>
                  </pic:nvPicPr>
                  <pic:blipFill>
                    <a:blip r:embed="rId41"/>
                    <a:stretch>
                      <a:fillRect/>
                    </a:stretch>
                  </pic:blipFill>
                  <pic:spPr bwMode="auto">
                    <a:xfrm>
                      <a:off x="0" y="0"/>
                      <a:ext cx="5334000" cy="5080000"/>
                    </a:xfrm>
                    <a:prstGeom prst="rect">
                      <a:avLst/>
                    </a:prstGeom>
                    <a:noFill/>
                    <a:ln w="9525">
                      <a:noFill/>
                      <a:headEnd/>
                      <a:tailEnd/>
                    </a:ln>
                  </pic:spPr>
                </pic:pic>
              </a:graphicData>
            </a:graphic>
          </wp:inline>
        </w:drawing>
      </w:r>
    </w:p>
    <w:p>
      <w:pPr>
        <w:pStyle w:val="BodyText"/>
      </w:pPr>
      <w:r>
        <w:t xml:space="preserve">Figure 7.</w:t>
      </w:r>
      <w:r>
        <w:t xml:space="preserve"> </w:t>
      </w:r>
      <w:r>
        <w:rPr>
          <w:b/>
          <w:bCs/>
        </w:rPr>
        <w:t xml:space="preserve">Simulation 1: reminder reinstatement increases similarity between film- and task-encoding contexts.</w:t>
      </w:r>
      <w:r>
        <w:t xml:space="preserve"> </w:t>
      </w:r>
      <w:r>
        <w:t xml:space="preserve">Reminder condition was varied before task encoding while retrieval was held unguided. (A) Mean context similarity between each encoded film position and the task-encoding period, averaging across encoded task positions. (B)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r>
        <w:br w:type="page"/>
      </w:r>
    </w:p>
    <w:bookmarkEnd w:id="44"/>
    <w:bookmarkStart w:id="60" w:name="X01bab10be8432eead1f631bed9fce6a815fd83d"/>
    <w:p>
      <w:pPr>
        <w:pStyle w:val="Heading1"/>
      </w:pPr>
      <w:r>
        <w:t xml:space="preserve">Simulation 2: Control Mechanisms for Deliberate Recall</w:t>
      </w:r>
    </w:p>
    <w:p>
      <w:pPr>
        <w:pStyle w:val="FirstParagraph"/>
      </w:pPr>
      <w:r>
        <w:drawing>
          <wp:inline>
            <wp:extent cx="5334000" cy="3227353"/>
            <wp:effectExtent b="0" l="0" r="0" t="0"/>
            <wp:docPr descr="" title="" id="46" name="Picture"/>
            <a:graphic>
              <a:graphicData uri="http://schemas.openxmlformats.org/drawingml/2006/picture">
                <pic:pic>
                  <pic:nvPicPr>
                    <pic:cNvPr descr="../work/simulation2_control_cued_behavioral/simulation2_control_cued_behavioral.png" id="47" name="Picture"/>
                    <pic:cNvPicPr>
                      <a:picLocks noChangeArrowheads="1" noChangeAspect="1"/>
                    </pic:cNvPicPr>
                  </pic:nvPicPr>
                  <pic:blipFill>
                    <a:blip r:embed="rId45"/>
                    <a:stretch>
                      <a:fillRect/>
                    </a:stretch>
                  </pic:blipFill>
                  <pic:spPr bwMode="auto">
                    <a:xfrm>
                      <a:off x="0" y="0"/>
                      <a:ext cx="5334000" cy="3227353"/>
                    </a:xfrm>
                    <a:prstGeom prst="rect">
                      <a:avLst/>
                    </a:prstGeom>
                    <a:noFill/>
                    <a:ln w="9525">
                      <a:noFill/>
                      <a:headEnd/>
                      <a:tailEnd/>
                    </a:ln>
                  </pic:spPr>
                </pic:pic>
              </a:graphicData>
            </a:graphic>
          </wp:inline>
        </w:drawing>
      </w:r>
    </w:p>
    <w:p>
      <w:pPr>
        <w:pStyle w:val="BodyText"/>
      </w:pPr>
      <w:r>
        <w:t xml:space="preserve">Figure 8.</w:t>
      </w:r>
      <w:r>
        <w:t xml:space="preserve"> </w:t>
      </w:r>
      <w:r>
        <w:rPr>
          <w:b/>
          <w:bCs/>
        </w:rPr>
        <w:t xml:space="preserve">Simulation 2: deliberate film recall is protected from reminder-linked task interference.</w:t>
      </w:r>
      <w:r>
        <w:t xml:space="preserve"> </w:t>
      </w:r>
      <w:r>
        <w:t xml:space="preserve">Reminder condition and task encoding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r>
        <w:br w:type="page"/>
      </w:r>
    </w:p>
    <w:p>
      <w:pPr>
        <w:pStyle w:val="BodyText"/>
      </w:pPr>
      <w:r>
        <w:drawing>
          <wp:inline>
            <wp:extent cx="5334000" cy="2384611"/>
            <wp:effectExtent b="0" l="0" r="0" t="0"/>
            <wp:docPr descr="" title="" id="49" name="Picture"/>
            <a:graphic>
              <a:graphicData uri="http://schemas.openxmlformats.org/drawingml/2006/picture">
                <pic:pic>
                  <pic:nvPicPr>
                    <pic:cNvPr descr="../work/simulation2_retrieval_control_decomposition/simulation2_retrieval_control_decomposition.png" id="50" name="Picture"/>
                    <pic:cNvPicPr>
                      <a:picLocks noChangeArrowheads="1" noChangeAspect="1"/>
                    </pic:cNvPicPr>
                  </pic:nvPicPr>
                  <pic:blipFill>
                    <a:blip r:embed="rId48"/>
                    <a:stretch>
                      <a:fillRect/>
                    </a:stretch>
                  </pic:blipFill>
                  <pic:spPr bwMode="auto">
                    <a:xfrm>
                      <a:off x="0" y="0"/>
                      <a:ext cx="5334000" cy="2384611"/>
                    </a:xfrm>
                    <a:prstGeom prst="rect">
                      <a:avLst/>
                    </a:prstGeom>
                    <a:noFill/>
                    <a:ln w="9525">
                      <a:noFill/>
                      <a:headEnd/>
                      <a:tailEnd/>
                    </a:ln>
                  </pic:spPr>
                </pic:pic>
              </a:graphicData>
            </a:graphic>
          </wp:inline>
        </w:drawing>
      </w:r>
    </w:p>
    <w:p>
      <w:pPr>
        <w:pStyle w:val="BodyText"/>
      </w:pPr>
      <w:r>
        <w:t xml:space="preserve">Figure 9.</w:t>
      </w:r>
      <w:r>
        <w:t xml:space="preserve"> </w:t>
      </w: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r>
        <w:br w:type="page"/>
      </w:r>
    </w:p>
    <w:p>
      <w:pPr>
        <w:pStyle w:val="BodyText"/>
      </w:pPr>
      <w:r>
        <w:drawing>
          <wp:inline>
            <wp:extent cx="5334000" cy="5080000"/>
            <wp:effectExtent b="0" l="0" r="0" t="0"/>
            <wp:docPr descr="" title="" id="52" name="Picture"/>
            <a:graphic>
              <a:graphicData uri="http://schemas.openxmlformats.org/drawingml/2006/picture">
                <pic:pic>
                  <pic:nvPicPr>
                    <pic:cNvPr descr="../work/simulation2_film_retrieval_goal_context_overlap/simulation2_film_retrieval_goal_context_overlap.png" id="53" name="Picture"/>
                    <pic:cNvPicPr>
                      <a:picLocks noChangeArrowheads="1" noChangeAspect="1"/>
                    </pic:cNvPicPr>
                  </pic:nvPicPr>
                  <pic:blipFill>
                    <a:blip r:embed="rId51"/>
                    <a:stretch>
                      <a:fillRect/>
                    </a:stretch>
                  </pic:blipFill>
                  <pic:spPr bwMode="auto">
                    <a:xfrm>
                      <a:off x="0" y="0"/>
                      <a:ext cx="5334000" cy="5080000"/>
                    </a:xfrm>
                    <a:prstGeom prst="rect">
                      <a:avLst/>
                    </a:prstGeom>
                    <a:noFill/>
                    <a:ln w="9525">
                      <a:noFill/>
                      <a:headEnd/>
                      <a:tailEnd/>
                    </a:ln>
                  </pic:spPr>
                </pic:pic>
              </a:graphicData>
            </a:graphic>
          </wp:inline>
        </w:drawing>
      </w:r>
    </w:p>
    <w:p>
      <w:pPr>
        <w:pStyle w:val="BodyText"/>
      </w:pPr>
      <w:r>
        <w:t xml:space="preserve">Figure 10.</w:t>
      </w:r>
      <w:r>
        <w:t xml:space="preserve"> </w:t>
      </w:r>
      <w:r>
        <w:rPr>
          <w:b/>
          <w:bCs/>
        </w:rPr>
        <w:t xml:space="preserve">Simulation 2: a maintained film-category cue makes film-directed retrieval cues less similar to task-encoding context.</w:t>
      </w:r>
      <w:r>
        <w:t xml:space="preserve"> </w:t>
      </w:r>
      <w:r>
        <w:t xml:space="preserve">The high-interference condition was held fixed: a film reminder preceded strong task encoding, and weak film cues were supplied periodically during recall. A maintained film-category cue supports film items during deliberate recall and is distinct from the external film reminder and test-phase film cues. (A) Mean similarity between task-encoding contexts and film-directed retrieval cues, averaging across encoded task positions for each encoded film position. (B) Full similarity matrices for the same condition. The left matrix uses temporal context alone; the right matrix schematically adds the maintained film-category cue to the film-directed retrieval cue. Brighter cells indicate greater similarity to task-encoding context. Adding the maintained film-category cue reduces similarity between film-directed retrieval cues and task-encoding contexts, providing a route to film recall that depends less on temporal context remaining selective for film items.</w:t>
      </w:r>
    </w:p>
    <w:p>
      <w:r>
        <w:br w:type="page"/>
      </w:r>
    </w:p>
    <w:p>
      <w:pPr>
        <w:pStyle w:val="BodyText"/>
      </w:pPr>
      <w:r>
        <w:drawing>
          <wp:inline>
            <wp:extent cx="5334000" cy="5042187"/>
            <wp:effectExtent b="0" l="0" r="0" t="0"/>
            <wp:docPr descr="" title="" id="55" name="Picture"/>
            <a:graphic>
              <a:graphicData uri="http://schemas.openxmlformats.org/drawingml/2006/picture">
                <pic:pic>
                  <pic:nvPicPr>
                    <pic:cNvPr descr="../work/simulation2_start_context_reinstatement/simulation2_start_context_reinstatement.png" id="56" name="Picture"/>
                    <pic:cNvPicPr>
                      <a:picLocks noChangeArrowheads="1" noChangeAspect="1"/>
                    </pic:cNvPicPr>
                  </pic:nvPicPr>
                  <pic:blipFill>
                    <a:blip r:embed="rId54"/>
                    <a:stretch>
                      <a:fillRect/>
                    </a:stretch>
                  </pic:blipFill>
                  <pic:spPr bwMode="auto">
                    <a:xfrm>
                      <a:off x="0" y="0"/>
                      <a:ext cx="5334000" cy="5042187"/>
                    </a:xfrm>
                    <a:prstGeom prst="rect">
                      <a:avLst/>
                    </a:prstGeom>
                    <a:noFill/>
                    <a:ln w="9525">
                      <a:noFill/>
                      <a:headEnd/>
                      <a:tailEnd/>
                    </a:ln>
                  </pic:spPr>
                </pic:pic>
              </a:graphicData>
            </a:graphic>
          </wp:inline>
        </w:drawing>
      </w:r>
    </w:p>
    <w:p>
      <w:pPr>
        <w:pStyle w:val="BodyText"/>
      </w:pPr>
      <w:r>
        <w:t xml:space="preserve">Figure 11.</w:t>
      </w:r>
      <w:r>
        <w:t xml:space="preserve"> </w:t>
      </w:r>
      <w:r>
        <w:rPr>
          <w:b/>
          <w:bCs/>
        </w:rPr>
        <w:t xml:space="preserve">Simulation 2: start-of-film context reinstatement protects early encoded film positions.</w:t>
      </w:r>
      <w:r>
        <w:t xml:space="preserve"> </w:t>
      </w:r>
      <w:r>
        <w:t xml:space="preserve">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the task phase. (A) Item accessibility before the first recall attempt. Reinstatement increases accessibility most strongly for early encoded film positions. (B) First recall probability distribution. Reinstatement shifts recall initiation toward early film positions. (C) Full recall probability distribution. The early-film bias remains visible across the recall period, while later film positions remain more vulnerable when strong task encoding follows a film reminder. Start-of-film context reinstatement therefore protects early encoded film positions by shifting retrieval initiation toward the start of the film sequence.</w:t>
      </w:r>
    </w:p>
    <w:p>
      <w:r>
        <w:br w:type="page"/>
      </w:r>
    </w:p>
    <w:p>
      <w:pPr>
        <w:pStyle w:val="BodyText"/>
      </w:pPr>
      <w:r>
        <w:drawing>
          <wp:inline>
            <wp:extent cx="5334000" cy="5066184"/>
            <wp:effectExtent b="0" l="0" r="0" t="0"/>
            <wp:docPr descr="" title="" id="58" name="Picture"/>
            <a:graphic>
              <a:graphicData uri="http://schemas.openxmlformats.org/drawingml/2006/picture">
                <pic:pic>
                  <pic:nvPicPr>
                    <pic:cNvPr descr="../work/simulation2_target_monitoring_diagnostic/simulation2_target_monitoring_diagnostic.png" id="59" name="Picture"/>
                    <pic:cNvPicPr>
                      <a:picLocks noChangeArrowheads="1" noChangeAspect="1"/>
                    </pic:cNvPicPr>
                  </pic:nvPicPr>
                  <pic:blipFill>
                    <a:blip r:embed="rId57"/>
                    <a:stretch>
                      <a:fillRect/>
                    </a:stretch>
                  </pic:blipFill>
                  <pic:spPr bwMode="auto">
                    <a:xfrm>
                      <a:off x="0" y="0"/>
                      <a:ext cx="5334000" cy="5066184"/>
                    </a:xfrm>
                    <a:prstGeom prst="rect">
                      <a:avLst/>
                    </a:prstGeom>
                    <a:noFill/>
                    <a:ln w="9525">
                      <a:noFill/>
                      <a:headEnd/>
                      <a:tailEnd/>
                    </a:ln>
                  </pic:spPr>
                </pic:pic>
              </a:graphicData>
            </a:graphic>
          </wp:inline>
        </w:drawing>
      </w:r>
    </w:p>
    <w:p>
      <w:pPr>
        <w:pStyle w:val="BodyText"/>
      </w:pPr>
      <w:r>
        <w:t xml:space="preserve">Figure 12.</w:t>
      </w:r>
      <w:r>
        <w:t xml:space="preserve"> </w:t>
      </w:r>
      <w:r>
        <w:rPr>
          <w:b/>
          <w:bCs/>
        </w:rPr>
        <w:t xml:space="preserve">Simulation 2: retrieval monitoring supports return to film recall.</w:t>
      </w:r>
      <w:r>
        <w:t xml:space="preserve"> </w:t>
      </w:r>
      <w:r>
        <w:t xml:space="preserve">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(B) 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 task encoding follows a film reminder.</w:t>
      </w:r>
    </w:p>
    <w:p>
      <w:r>
        <w:br w:type="page"/>
      </w:r>
    </w:p>
    <w:bookmarkEnd w:id="60"/>
    <w:bookmarkStart w:id="64" w:name="recognition-like-test-format"/>
    <w:p>
      <w:pPr>
        <w:pStyle w:val="Heading1"/>
      </w:pPr>
      <w:r>
        <w:t xml:space="preserve">Recognition-Like Test Format</w:t>
      </w:r>
    </w:p>
    <w:p>
      <w:pPr>
        <w:pStyle w:val="FirstParagraph"/>
      </w:pPr>
      <w:r>
        <w:drawing>
          <wp:inline>
            <wp:extent cx="5334000" cy="3873500"/>
            <wp:effectExtent b="0" l="0" r="0" t="0"/>
            <wp:docPr descr="" title="" id="62" name="Picture"/>
            <a:graphic>
              <a:graphicData uri="http://schemas.openxmlformats.org/drawingml/2006/picture">
                <pic:pic>
                  <pic:nvPicPr>
                    <pic:cNvPr descr="../work/simulation4_recognition_full_figure/item_context_recognition.png" id="63" name="Picture"/>
                    <pic:cNvPicPr>
                      <a:picLocks noChangeArrowheads="1" noChangeAspect="1"/>
                    </pic:cNvPicPr>
                  </pic:nvPicPr>
                  <pic:blipFill>
                    <a:blip r:embed="rId61"/>
                    <a:stretch>
                      <a:fillRect/>
                    </a:stretch>
                  </pic:blipFill>
                  <pic:spPr bwMode="auto">
                    <a:xfrm>
                      <a:off x="0" y="0"/>
                      <a:ext cx="5334000" cy="3873500"/>
                    </a:xfrm>
                    <a:prstGeom prst="rect">
                      <a:avLst/>
                    </a:prstGeom>
                    <a:noFill/>
                    <a:ln w="9525">
                      <a:noFill/>
                      <a:headEnd/>
                      <a:tailEnd/>
                    </a:ln>
                  </pic:spPr>
                </pic:pic>
              </a:graphicData>
            </a:graphic>
          </wp:inline>
        </w:drawing>
      </w:r>
    </w:p>
    <w:p>
      <w:pPr>
        <w:pStyle w:val="BodyText"/>
      </w:pPr>
      <w:r>
        <w:t xml:space="preserve">Figure 13.</w:t>
      </w:r>
      <w:r>
        <w:t xml:space="preserve"> </w:t>
      </w:r>
      <w:r>
        <w:rPr>
          <w:b/>
          <w:bCs/>
        </w:rPr>
        <w:t xml:space="preserve">Item-to-context retrieval bypasses reminder-linked task interference.</w:t>
      </w:r>
      <w:r>
        <w:t xml:space="preserve"> </w:t>
      </w:r>
      <w:r>
        <w:t xml:space="preserve">(A) CMR stores bidirectional associations between item features and context. Feature-to-context memory lets an item reinstate its associated context, whereas context-to-feature memory lets context cue candidate items. (B) When film-associated context cues items, film items and task items linked to that context can both receive support. When a film item reinstates context, retrieval targets context units instead, so task items are not competitors in that step. (C) In recognition, the test presents a candidate film item as the probe. The probe retrieves associated context, which is compared with ongoing test context; stronger matches provide stronger evidence that the item appeared in the film. (D) Old-film minus foil recognition evidence is plotted across the same reminder conditions and task encoding strengths used in the recall simulations. The measure subtracts mean evidence for film-source-matched foils from mean evidence for studied film probes. Strong task encoding after a film reminder does not produce a corresponding reduction in recognition-evidence separation.</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retrieved-context account of selective interference in intrusive and voluntary remembering</dc:title>
  <dc:creator>Jordan B Gunn</dc:creator>
  <cp:keywords>intrusive memories, voluntary memory, trauma-film paradigm, visuospatial intervention, selective interference, retrieved-context theory, computational modeling</cp:keywords>
  <dcterms:created xsi:type="dcterms:W3CDTF">2026-07-14T07:28:41Z</dcterms:created>
  <dcterms:modified xsi:type="dcterms:W3CDTF">2026-07-14T07:28:41Z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horttitle">
    <vt:lpwstr>Retrieved context and selective interference</vt:lpwstr>
  </property>
  <property fmtid="{D5CDD505-2E9C-101B-9397-08002B2CF9AE}" pid="13" name="toc-title">
    <vt:lpwstr>Table of contents</vt:lpwstr>
  </property>
</Properties>
</file>