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Visuospatial tasks performed after trauma-film encoding, or after a later reminder of the film,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context reinstatement, competitor encoding, and retrieval control produce the selective-interference pattern without separately vulnerable representations.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When later retrieval contexts cue both film items and task competitors, film items are less likely to be sampled during unguided retrieval, reducing intrusions even though film-item strength is not reduced.</w:t>
      </w:r>
      <w:r>
        <w:t xml:space="preserve"> </w:t>
      </w:r>
      <w:r>
        <w:t xml:space="preserve">Deliberate recall is less vulnerable when task goals provide a film-directed start cue and selection favors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Selective interference is therefore compatible with a single retrieved-context system and is not by itself diagnostic of separate representational systems or selective trace weakening.</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selective-interference effect reflects a capacity to intentionally focus retrieval on goal-relevant event information while reducing the influence of competing memories.</w:t>
      </w:r>
    </w:p>
    <w:p>
      <w:pPr>
        <w:pStyle w:val="BodyText"/>
      </w:pPr>
      <w:r>
        <w:t xml:space="preserve">We formalize and evaluate this proposal in an emotional Context Maintenance and Retrieval model</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explain recall by treating context as a gradually changing state that is updated by studied items, reinstated by recalled items,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CMR extends this framework by representing context-to-item and item-to-context associations across temporal, semantic, and source/contextual dimensions</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 over memory search enters the framework in two related ways: start-of-recall context reinstatement can bias retrieval toward a target episode, while monitoring mechanisms can reject candidates that poorly match a target context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(i.e., eCMR and CMR3) instantiate this source-context machinery with emotional context and emotion-dependent binding, allowing retrieved-context models to capture how affective content shapes recall organization, emotional intrusions, and intentional access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commitments make the framework a principled setting for demonstrating how selective interference can arise within a single retrieved-context system.</w:t>
      </w:r>
    </w:p>
    <w:p>
      <w:pPr>
        <w:pStyle w:val="BodyText"/>
      </w:pPr>
      <w:r>
        <w:t xml:space="preserve">For selective interference, our model treats the film, any reminder, and subsequent interference as episodes encoded by binding item representations to a continuously evolving context representation</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yonelinas2019contextual">
        <w:r>
          <w:rPr>
            <w:rStyle w:val="Hyperlink"/>
          </w:rPr>
          <w:t xml:space="preserve">Yonelinas et al., 2019</w:t>
        </w:r>
      </w:hyperlink>
      <w:r>
        <w:t xml:space="preserve">)</w:t>
      </w:r>
      <w:r>
        <w:t xml:space="preserve">.</w:t>
      </w:r>
      <w:r>
        <w:t xml:space="preserve"> </w:t>
      </w:r>
      <w:r>
        <w:t xml:space="preserve">Post-film or post-reminder activity can therefore encode task items in context states similar to film-associated context states, including states reinstated by reminders.</w:t>
      </w:r>
      <w:r>
        <w:t xml:space="preserve"> </w:t>
      </w:r>
      <w:r>
        <w:t xml:space="preserve">At retrieval, the current context state cues memory search, so competition depends on how strongly film items and task items are associated with similar context states.</w:t>
      </w:r>
      <w:r>
        <w:t xml:space="preserve"> </w:t>
      </w:r>
      <w:r>
        <w:t xml:space="preserve">Deliberate recall can reduce vulnerability to this competition when retrieval begins from a more film-directed state and when selection favors film items over competitors.</w:t>
      </w:r>
      <w:r>
        <w:t xml:space="preserve"> </w:t>
      </w:r>
      <w:r>
        <w:t xml:space="preserve">The account therefore attributes the intrusion-voluntary-memory dissociation to retrieval modes and control settings applied to shared memory associations.</w:t>
      </w:r>
      <w:r>
        <w:t xml:space="preserve"> </w:t>
      </w:r>
      <w:r>
        <w:t xml:space="preserve">This reframes selective interference as a change in which competitors are cued by film-associated context states, rather than as reduced availability of film items after encoding or reminder reactivation.</w:t>
      </w:r>
    </w:p>
    <w:p>
      <w:pPr>
        <w:pStyle w:val="BodyText"/>
      </w:pPr>
      <w:r>
        <w:t xml:space="preserve">Our simulations evaluate the account at the level where a retrieved-context model makes its distinctive predictions: the distribution and organization of recall across the film, interference, and delay phases of a trauma-film paradigm.</w:t>
      </w:r>
      <w:r>
        <w:t xml:space="preserve"> </w:t>
      </w:r>
      <w:r>
        <w:t xml:space="preserve">Simulation 1 demonstrates the context-binding account of interference: after a film reminder, a strongly encoded task can reduce later film recall because task items are encoded while context is still film-relevant, making them likely to compete when film context cues retrieval.</w:t>
      </w:r>
      <w:r>
        <w:t xml:space="preserve"> </w:t>
      </w:r>
      <w:r>
        <w:t xml:space="preserve">Simulation 2 adds the intentionality manipulation, comparing unguided retrieval with deliberate recall after the same task manipulation and decomposing the film-directed control settings that protect deliberate recall.</w:t>
      </w:r>
      <w:r>
        <w:t xml:space="preserve"> </w:t>
      </w:r>
      <w:r>
        <w:t xml:space="preserve">Simulation 3 clarifies which task properties matter in the model, including task-item learning strength and overlap with film-associated context, rather than treating the visuospatial/comparison contrast as primitive.</w:t>
      </w:r>
      <w:r>
        <w:t xml:space="preserve"> </w:t>
      </w:r>
      <w:r>
        <w:t xml:space="preserve">Simulation 4 examines cue support across test formats, showing how film-related monitoring cues or supplied film items can reduce reliance on broad context-to-item sampling and thereby narrow the intrusion-voluntary-memory dissociation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A retrieved-context account of selective interference.</w:t>
      </w:r>
      <w:r>
        <w:t xml:space="preserve"> </w:t>
      </w:r>
      <w:r>
        <w:t xml:space="preserve">The account explains selective interference through context overlap, task encoding strength, and retrieval control within a shared memory system.</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film-relevant context when they are encoded soon after the film, after a reminder has reinstated film-associated context, or when they share a non-temporal source feature with film items.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source-context pathway can amplify competition when film and task items share the marked source feature.</w:t>
      </w:r>
    </w:p>
    <w:p>
      <w:pPr>
        <w:pStyle w:val="BodyText"/>
      </w:pPr>
      <w:r>
        <w:t xml:space="preserve">Context-to-item retrieval uses the current context state to cue candidate items.</w:t>
      </w:r>
      <w:r>
        <w:t xml:space="preserve"> </w:t>
      </w:r>
      <w:r>
        <w:t xml:space="preserve">Here, unguided retrieval refers to broad context-to-item sampling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sampled as an intrusion.</w:t>
      </w:r>
      <w:r>
        <w:t xml:space="preserve"> </w:t>
      </w:r>
      <w:r>
        <w:t xml:space="preserve">The size of this effect depends on the number of competitors, their learned support, and the similarity between their associated temporal or source-context states and film context.</w:t>
      </w:r>
      <w:r>
        <w:t xml:space="preserve"> </w:t>
      </w:r>
      <w:r>
        <w:t xml:space="preserve">Perceptual modality contributes through those quantities: a visuospatial task is effective to the extent that it creates competitors with sufficient learned support or sufficiently similar 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Furthermore, retrieval tests that supply a film item can be less vulnerable to interference, because the supplied item can reinstate its associated context directly, sidestepping the problem of selecting between items associated with overlapping context states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protected only to the extent that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reinstates film-associated context before recall and biases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The simulations instantiate these commitments in an emotional CMR model with phase-specific encoding, reminder-driven reinstatement, retrieval-mode and control settings, and source-context overlap</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p>
    <w:bookmarkEnd w:id="29"/>
    <w:bookmarkStart w:id="54" w:name="model-specification"/>
    <w:p>
      <w:pPr>
        <w:pStyle w:val="Heading1"/>
      </w:pPr>
      <w:r>
        <w:t xml:space="preserve">Model Specification</w:t>
      </w:r>
    </w:p>
    <w:p>
      <w:pPr>
        <w:pStyle w:val="FirstParagraph"/>
      </w:pPr>
      <w:r>
        <w:t xml:space="preserve">The specification below defines the model’s representations, parameters, and initialization before turning to context updating, associative learning, retrieval, retrieval-control settings, and source context.</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symbolic base parameters used by the model.</w:t>
      </w:r>
      <w:r>
        <w:t xml:space="preserve"> </w:t>
      </w:r>
      <w:r>
        <w:t xml:space="preserve">The equations below define the model architecture; numerical parameter values and phase-specific settings are specified in the simulation methodology.</w:t>
      </w:r>
    </w:p>
    <w:bookmarkStart w:id="30" w:name="tbl-base-parameters"/>
    <w:p>
      <w:pPr>
        <w:pStyle w:val="FigureTitle"/>
      </w:pPr>
      <w:r>
        <w:t xml:space="preserve">Table 1</w:t>
      </w:r>
    </w:p>
    <w:p>
      <w:pPr>
        <w:pStyle w:val="Caption"/>
      </w:pPr>
      <w:r>
        <w:t xml:space="preserve">Base parameters and theoretical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Start-of-list or film-directed context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non-film competitors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output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Because the selective-interference simulations vary the new associations formed across phases, these baseline associations are treated as fixed model architecture rather than as the mechanism of interest.</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When a new event is encoded, the active feature and updated context are also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recalling item</w:t>
      </w:r>
      <w:r>
        <w:t xml:space="preserve"> </w:t>
      </w:r>
      <m:oMath>
        <m:r>
          <m:t>i</m:t>
        </m:r>
      </m:oMath>
      <w:r>
        <w:t xml:space="preserve">, conditional on continuing recall, follows a Luce choice rule over currently unrecalled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recall</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recall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recall</m:t>
            </m:r>
          </m:e>
        </m:d>
      </m:oMath>
      <w:r>
        <w:t xml:space="preserve">.</w:t>
      </w:r>
      <w:r>
        <w:t xml:space="preserve"> </w:t>
      </w:r>
      <w:r>
        <w:t xml:space="preserve">Termination probability grows with output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recalled,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recalled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recalled-item update drives context toward the recalled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recalled items, and supplied film items use the context update without adding a new recallable event.</w:t>
      </w:r>
    </w:p>
    <w:bookmarkEnd w:id="45"/>
    <w:bookmarkStart w:id="49" w:name="retrieval-control"/>
    <w:p>
      <w:pPr>
        <w:pStyle w:val="Heading2"/>
      </w:pPr>
      <w:r>
        <w:t xml:space="preserve">Retrieval Control</w:t>
      </w:r>
    </w:p>
    <w:p>
      <w:pPr>
        <w:pStyle w:val="FirstParagraph"/>
      </w:pP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w:bookmarkStart w:id="46" w:name="eq-deliberate-start-cue"/>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The scale</w:t>
      </w:r>
      <w:r>
        <w:t xml:space="preserve"> </w:t>
      </w:r>
      <m:oMath>
        <m:sSubSup>
          <m:e>
            <m:r>
              <m:t>m</m:t>
            </m:r>
          </m:e>
          <m:sub>
            <m:r>
              <m:rPr>
                <m:nor/>
                <m:sty m:val="p"/>
              </m:rPr>
              <m:t>start</m:t>
            </m:r>
          </m:sub>
          <m:sup>
            <m:r>
              <m:t>β</m:t>
            </m:r>
          </m:sup>
        </m:sSubSup>
      </m:oMath>
      <w:r>
        <w:t xml:space="preserve"> </w:t>
      </w:r>
      <w:r>
        <w:t xml:space="preserve">controls the strength of this cueing in deliberate recall.</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 non-film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recalled-item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non-film competitors have less influence on the next context state than sampled film items.</w:t>
      </w:r>
      <w:r>
        <w:t xml:space="preserve"> </w:t>
      </w:r>
      <w:r>
        <w:t xml:space="preserve">This convention is used for deliberate recall when simulations manipulate rejected-recall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Supplied film items therefore use the same feature-to-context operation as recalled and reminded items.</w:t>
      </w:r>
    </w:p>
    <w:bookmarkEnd w:id="49"/>
    <w:bookmarkStart w:id="53" w:name="source-context"/>
    <w:p>
      <w:pPr>
        <w:pStyle w:val="Heading2"/>
      </w:pPr>
      <w:r>
        <w:t xml:space="preserve">Source Context</w:t>
      </w:r>
    </w:p>
    <w:p>
      <w:pPr>
        <w:pStyle w:val="FirstParagraph"/>
      </w:pPr>
      <w:r>
        <w:t xml:space="preserve">The model also includes a source-context pathway, generalizing the role that emotional context plays in eCMR to non-temporal contextual features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two-unit source feature vector</w:t>
      </w:r>
      <w:r>
        <w:t xml:space="preserve"> </w:t>
      </w:r>
      <m:oMath>
        <m:sSub>
          <m:e>
            <m:r>
              <m:t>s</m:t>
            </m:r>
          </m:e>
          <m:sub>
            <m:r>
              <m:t>i</m:t>
            </m:r>
          </m:sub>
        </m:sSub>
      </m:oMath>
      <w:r>
        <w:t xml:space="preserve">.</w:t>
      </w:r>
      <w:r>
        <w:t xml:space="preserve"> </w:t>
      </w:r>
      <w:r>
        <w:t xml:space="preserve">The marked source feature can be used to examine whether film and task items that share a non-temporal source state compete more strongly, without necessarily treating visuospatial task items as emotional items.</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Source-context-to-feature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source context can update during experience before it contributes retrieval support.</w:t>
      </w:r>
      <w:r>
        <w:t xml:space="preserve"> </w:t>
      </w:r>
      <w:r>
        <w:t xml:space="preserve">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the added context-to-feature learning strength for item</w:t>
      </w:r>
      <w:r>
        <w:t xml:space="preserve"> </w:t>
      </w:r>
      <m:oMath>
        <m:r>
          <m:t>i</m:t>
        </m:r>
      </m:oMath>
      <w:r>
        <w:t xml:space="preserve"> </w:t>
      </w:r>
      <w:r>
        <w:t xml:space="preserve">in the source-context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 or default items receive 0.</w:t>
      </w:r>
      <w:r>
        <w:t xml:space="preserve"> </w:t>
      </w:r>
      <w:r>
        <w:t xml:space="preserve">When source-context learning is engaged, the source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sSub>
            <m:e>
              <m:r>
                <m:t>ϕ</m:t>
              </m:r>
            </m:e>
            <m:sub>
              <m:r>
                <m:rPr>
                  <m:sty m:val="p"/>
                </m:rPr>
                <m:t>e</m:t>
              </m:r>
              <m:r>
                <m:rPr>
                  <m:sty m:val="p"/>
                </m:rPr>
                <m:t>m</m:t>
              </m:r>
              <m:r>
                <m:rPr>
                  <m:sty m:val="p"/>
                </m:rPr>
                <m:t>o</m:t>
              </m:r>
              <m:r>
                <m:rPr>
                  <m:sty m:val="p"/>
                </m:rPr>
                <m:t>t</m:t>
              </m:r>
              <m:r>
                <m:rPr>
                  <m:sty m:val="p"/>
                </m:rPr>
                <m:t>,</m:t>
              </m:r>
              <m:r>
                <m:t>i</m:t>
              </m:r>
            </m:sub>
          </m:sSub>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Task items are distinct item features and are assigned the marked source feature only in source-context-overlap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Because retrieval proceeds as a sequence of competitive samples terminated by a growing stop probability, task competitors can reduce film retrieval by winning individual retrieval competitions before search terminates.</w:t>
      </w:r>
    </w:p>
    <w:bookmarkEnd w:id="53"/>
    <w:bookmarkEnd w:id="54"/>
    <w:bookmarkStart w:id="66" w:name="simulations"/>
    <w:p>
      <w:pPr>
        <w:pStyle w:val="Heading1"/>
      </w:pPr>
      <w:r>
        <w:t xml:space="preserve">Simulations</w:t>
      </w:r>
    </w:p>
    <w:p>
      <w:pPr>
        <w:pStyle w:val="FirstParagraph"/>
      </w:pPr>
      <w:r>
        <w:t xml:space="preserve">The simulations instantiate the retrieved-context account in a controlled trauma-film analogue.</w:t>
      </w:r>
      <w:r>
        <w:t xml:space="preserve"> </w:t>
      </w:r>
      <w:r>
        <w:t xml:space="preserve">They evaluate four linked packages: context-binding interference, retrieval-mode differences, task specificity, and cue support across test formats.</w:t>
      </w:r>
      <w:r>
        <w:t xml:space="preserve"> </w:t>
      </w:r>
      <w:r>
        <w:t xml:space="preserve">Simulation 1 shows how a post-reminder task reduces film recall when task items receive strong context-to-feature learning while film-relevant context is active.</w:t>
      </w:r>
      <w:r>
        <w:t xml:space="preserve"> </w:t>
      </w:r>
      <w:r>
        <w:t xml:space="preserve">Simulation 2 adds the intentionality manipulation by comparing unguided retrieval with deliberate recall and then decomposing the film-directed control settings that reduce deliberate-recall vulnerability.</w:t>
      </w:r>
      <w:r>
        <w:t xml:space="preserve"> </w:t>
      </w:r>
      <w:r>
        <w:t xml:space="preserve">Simulation 3 examines which task properties make the post-film task effective, including task-item learning strength, contextual similarity, and source-context overlap.</w:t>
      </w:r>
      <w:r>
        <w:t xml:space="preserve"> </w:t>
      </w:r>
      <w:r>
        <w:t xml:space="preserve">Simulation 4 examines how film-related monitoring cues and tests that supply a film item change vulnerability across test formats.</w:t>
      </w:r>
    </w:p>
    <w:bookmarkStart w:id="57" w:name="methodology"/>
    <w:p>
      <w:pPr>
        <w:pStyle w:val="Heading2"/>
      </w:pPr>
      <w:r>
        <w:t xml:space="preserve">Methodology</w:t>
      </w:r>
    </w:p>
    <w:p>
      <w:pPr>
        <w:pStyle w:val="FirstParagraph"/>
      </w:pPr>
      <w:r>
        <w:t xml:space="preserve">Base parameters were anchored to an existing immediate free-recall dataset in which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fitted parameters anchor baseline emotional-picture free-recall dynamics before the selective-interference manipulations are applied as phase-specific encoding or retrieval-control settings.</w:t>
      </w:r>
      <w:r>
        <w:t xml:space="preserve"> </w:t>
      </w:r>
      <w:hyperlink w:anchor="tbl-simulation-parameters">
        <w:r>
          <w:rPr>
            <w:rStyle w:val="Hyperlink"/>
          </w:rPr>
          <w:t xml:space="preserve">Table 2</w:t>
        </w:r>
      </w:hyperlink>
      <w:r>
        <w:t xml:space="preserve"> </w:t>
      </w:r>
      <w:r>
        <w:t xml:space="preserve">gives the default numerical values used in the current simulations.</w:t>
      </w:r>
    </w:p>
    <w:bookmarkStart w:id="55" w:name="tbl-simulation-parameters"/>
    <w:p>
      <w:pPr>
        <w:pStyle w:val="FigureTitle"/>
      </w:pPr>
      <w:r>
        <w:t xml:space="preserve">Table 2</w:t>
      </w:r>
    </w:p>
    <w:p>
      <w:pPr>
        <w:pStyle w:val="Caption"/>
      </w:pPr>
      <w:r>
        <w:t xml:space="preserve">Default numerical parameter values used in the current simulations.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Start-context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0.499</w:t>
            </w:r>
          </w:p>
        </w:tc>
        <w:tc>
          <w:tcPr/>
          <w:p>
            <w:pPr>
              <w:pStyle w:val="Compact"/>
            </w:pPr>
            <w:r>
              <w:t xml:space="preserve">Primacy scale</w:t>
            </w:r>
          </w:p>
        </w:tc>
      </w:tr>
      <w:tr>
        <w:tc>
          <w:tcPr/>
          <w:p>
            <w:pPr>
              <w:pStyle w:val="Compact"/>
            </w:pPr>
            <m:oMath>
              <m:sSub>
                <m:e>
                  <m:r>
                    <m:t>ϕ</m:t>
                  </m:r>
                </m:e>
                <m:sub>
                  <m:r>
                    <m:t>d</m:t>
                  </m:r>
                </m:sub>
              </m:sSub>
            </m:oMath>
          </w:p>
        </w:tc>
        <w:tc>
          <w:tcPr/>
          <w:p>
            <w:pPr>
              <w:pStyle w:val="Compact"/>
              <w:jc w:val="right"/>
            </w:pPr>
            <w:r>
              <w:t xml:space="preserve">0.530</w:t>
            </w:r>
          </w:p>
        </w:tc>
        <w:tc>
          <w:tcPr/>
          <w:p>
            <w:pPr>
              <w:pStyle w:val="Compact"/>
            </w:pPr>
            <w:r>
              <w:t xml:space="preserve">Primacy decay</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55"/>
    <w:p>
      <w:pPr>
        <w:pStyle w:val="AfterWithoutNote"/>
      </w:pPr>
      <w:r>
        <w:t xml:space="preserve">The current simulations update associations after context integration and disallow repeated recalls.</w:t>
      </w:r>
    </w:p>
    <w:p>
      <w:pPr>
        <w:pStyle w:val="BodyText"/>
      </w:pPr>
      <w:r>
        <w:t xml:space="preserve">Each simulated trial contains 16 film items, 16 break/buffer items, 16 task items, and 16 filler items.</w:t>
      </w:r>
      <w:r>
        <w:t xml:space="preserve"> </w:t>
      </w:r>
      <w:r>
        <w:t xml:space="preserve">Equal phase lengths make redistribution across film, task, and filler periods directly comparable.</w:t>
      </w:r>
      <w:r>
        <w:t xml:space="preserve"> </w:t>
      </w:r>
      <w:r>
        <w:t xml:space="preserve">Retrieval allows up to 48 recall attempts.</w:t>
      </w:r>
      <w:r>
        <w:t xml:space="preserve"> </w:t>
      </w:r>
      <w:r>
        <w:t xml:space="preserve">All encoded film, break/buffer, task, and filler items can enter the retrieval competition unless a later simulation explicitly changes the test format.</w:t>
      </w:r>
    </w:p>
    <w:p>
      <w:pPr>
        <w:pStyle w:val="BodyText"/>
      </w:pPr>
      <w:r>
        <w:t xml:space="preserve">Film, break/buffer, task, and filler items are encoded by the same CMR operations defined above.</w:t>
      </w:r>
      <w:r>
        <w:t xml:space="preserve"> </w:t>
      </w:r>
      <w:r>
        <w:t xml:space="preserve">Phase settings control temporal drift and context-to-feature learning strength.</w:t>
      </w:r>
      <w:r>
        <w:t xml:space="preserve"> </w:t>
      </w:r>
      <w:r>
        <w:t xml:space="preserve">In the no-reminder condition used for Simulation 1, the reminder-start and film-item reminder-cue drift scales are set to zero.</w:t>
      </w:r>
      <w:r>
        <w:t xml:space="preserve"> </w:t>
      </w:r>
      <w:r>
        <w:t xml:space="preserve">In the with-reminder condition, context first shifts toward the start state and then receives sequential film-item reminder cues before task encoding.</w:t>
      </w:r>
      <w:r>
        <w:t xml:space="preserve"> </w:t>
      </w:r>
      <w:r>
        <w:t xml:space="preserve">Reminder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apply</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do not add new recallable items.</w:t>
      </w:r>
      <w:r>
        <w:t xml:space="preserve"> </w:t>
      </w:r>
      <w:hyperlink w:anchor="tbl-simulation-phase-settings">
        <w:r>
          <w:rPr>
            <w:rStyle w:val="Hyperlink"/>
          </w:rPr>
          <w:t xml:space="preserve">Table 3</w:t>
        </w:r>
      </w:hyperlink>
      <w:r>
        <w:t xml:space="preserve"> </w:t>
      </w:r>
      <w:r>
        <w:t xml:space="preserve">summarizes the phase structure and settings used for the current Figure 2 simulations.</w:t>
      </w:r>
    </w:p>
    <w:bookmarkStart w:id="56" w:name="tbl-simulation-phase-settings"/>
    <w:p>
      <w:pPr>
        <w:pStyle w:val="FigureTitle"/>
      </w:pPr>
      <w:r>
        <w:t xml:space="preserve">Table 3</w:t>
      </w:r>
    </w:p>
    <w:p>
      <w:pPr>
        <w:pStyle w:val="Caption"/>
      </w:pPr>
      <w:r>
        <w:t xml:space="preserve">Phase structure and settings for the current Figure 2 simulations.</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film-item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recall attempts</w:t>
            </w:r>
          </w:p>
        </w:tc>
        <w:tc>
          <w:tcPr/>
          <w:p>
            <w:pPr>
              <w:pStyle w:val="Compact"/>
              <w:jc w:val="right"/>
            </w:pPr>
            <w:r>
              <w:t xml:space="preserve">48</w:t>
            </w:r>
          </w:p>
        </w:tc>
        <w:tc>
          <w:tcPr/>
          <w:p>
            <w:pPr>
              <w:pStyle w:val="Compact"/>
            </w:pPr>
            <w:r>
              <w:t xml:space="preserve">Upper bound on sampled retrieval outputs</w:t>
            </w:r>
          </w:p>
        </w:tc>
      </w:tr>
      <w:tr>
        <w:tc>
          <w:tcPr/>
          <w:p>
            <w:pPr>
              <w:pStyle w:val="Compact"/>
            </w:pPr>
            <w:r>
              <w:t xml:space="preserve">Simulated trials per sweep cell</w:t>
            </w:r>
          </w:p>
        </w:tc>
        <w:tc>
          <w:tcPr/>
          <w:p>
            <w:pPr>
              <w:pStyle w:val="Compact"/>
              <w:jc w:val="right"/>
            </w:pPr>
            <w:r>
              <w:t xml:space="preserve">5000</w:t>
            </w:r>
          </w:p>
        </w:tc>
        <w:tc>
          <w:tcPr/>
          <w:p>
            <w:pPr>
              <w:pStyle w:val="Compact"/>
            </w:pPr>
            <w:r>
              <w:t xml:space="preserve">Replications used for Figure 2 estimates</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film-item cue reinstatement</w:t>
            </w:r>
          </w:p>
        </w:tc>
      </w:tr>
      <w:tr>
        <w:tc>
          <w:tcPr/>
          <w:p>
            <w:pPr>
              <w:pStyle w:val="Compact"/>
            </w:pPr>
            <w:r>
              <w:t xml:space="preserve">Task</w:t>
            </w:r>
            <w:r>
              <w:t xml:space="preserve"> </w:t>
            </w:r>
            <m:oMath>
              <m:sSup>
                <m:e>
                  <m:r>
                    <m:t>M</m:t>
                  </m:r>
                </m:e>
                <m:sup>
                  <m:r>
                    <m:t>C</m:t>
                  </m:r>
                  <m:r>
                    <m:t>F</m:t>
                  </m:r>
                </m:sup>
              </m:sSup>
            </m:oMath>
            <w:r>
              <w:t xml:space="preserve"> </w:t>
            </w:r>
            <w:r>
              <w:t xml:space="preserve">scale</w:t>
            </w:r>
          </w:p>
        </w:tc>
        <w:tc>
          <w:tcPr/>
          <w:p>
            <w:pPr>
              <w:pStyle w:val="Compact"/>
              <w:jc w:val="right"/>
            </w:pPr>
            <w:r>
              <w:t xml:space="preserve">0.0–3.0 by 0.5</w:t>
            </w:r>
          </w:p>
        </w:tc>
        <w:tc>
          <w:tcPr/>
          <w:p>
            <w:pPr>
              <w:pStyle w:val="Compact"/>
            </w:pPr>
            <w:r>
              <w:t xml:space="preserve">Sweep of task context-to-feature learning strength</w:t>
            </w:r>
          </w:p>
        </w:tc>
      </w:tr>
      <w:tr>
        <w:tc>
          <w:tcPr/>
          <w:p>
            <w:pPr>
              <w:pStyle w:val="Compact"/>
            </w:pPr>
            <w:r>
              <w:t xml:space="preserve">Source marking</w:t>
            </w:r>
          </w:p>
        </w:tc>
        <w:tc>
          <w:tcPr/>
          <w:p>
            <w:pPr>
              <w:pStyle w:val="Compact"/>
              <w:jc w:val="right"/>
            </w:pPr>
            <w:r>
              <w:t xml:space="preserve">Off</w:t>
            </w:r>
          </w:p>
        </w:tc>
        <w:tc>
          <w:tcPr/>
          <w:p>
            <w:pPr>
              <w:pStyle w:val="Compact"/>
            </w:pPr>
            <w:r>
              <w:t xml:space="preserve">No source-context-overlap manipulation in Simulation 1</w:t>
            </w:r>
          </w:p>
        </w:tc>
      </w:tr>
    </w:tbl>
    <w:bookmarkEnd w:id="56"/>
    <w:p>
      <w:pPr>
        <w:pStyle w:val="AfterWithoutNote"/>
      </w:pPr>
      <w:r>
        <w:t xml:space="preserve">For each condition and sweep value, the model encodes the phase sequence, enters retrieval,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 and repeats this process across simulated trials.</w:t>
      </w:r>
      <w:r>
        <w:t xml:space="preserve"> </w:t>
      </w:r>
      <w:r>
        <w:t xml:space="preserve">Serial-position curves estimate the probability that each encoded position appears at least once in the recall sequence.</w:t>
      </w:r>
      <w:r>
        <w:t xml:space="preserve"> </w:t>
      </w:r>
      <w:r>
        <w:t xml:space="preserve">The model-state analyses in Figure 2 quantify two quantities that explain the behavioral curves.</w:t>
      </w:r>
      <w:r>
        <w:t xml:space="preserve"> </w:t>
      </w:r>
      <w:r>
        <w:t xml:space="preserve">The context-similarity analysis computes cosine similarity between unit-normalized temporal context states associated with film-item encoding and temporal context states active during task-item encoding.</w:t>
      </w:r>
      <w:r>
        <w:t xml:space="preserve"> </w:t>
      </w:r>
      <w:r>
        <w:t xml:space="preserve">The support-allocation analysis forms a film-context cue from the centroid of film encoding context states, applies that cue to</w:t>
      </w:r>
      <w:r>
        <w:t xml:space="preserve"> </w:t>
      </w:r>
      <m:oMath>
        <m:sSup>
          <m:e>
            <m:r>
              <m:t>M</m:t>
            </m:r>
          </m:e>
          <m:sup>
            <m:r>
              <m:t>C</m:t>
            </m:r>
            <m:r>
              <m:t>F</m:t>
            </m:r>
          </m:sup>
        </m:sSup>
      </m:oMath>
      <w:r>
        <w:t xml:space="preserve"> </w:t>
      </w:r>
      <w:r>
        <w:t xml:space="preserve">after task encoding, and computes task support divided by the sum of film and task support.</w:t>
      </w:r>
    </w:p>
    <w:bookmarkEnd w:id="57"/>
    <w:bookmarkStart w:id="62"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items are strongly encoded while film-relevant context is active.</w:t>
      </w:r>
      <w:r>
        <w:t xml:space="preserve"> </w:t>
      </w:r>
      <w:r>
        <w:t xml:space="preserve">To separate task strength from reminder-driven context reinstatement, the simulation sweeps the task-phase context-to-feature learning scale under no-reminder and with-reminder conditions.</w:t>
      </w:r>
      <w:r>
        <w:t xml:space="preserve"> </w:t>
      </w:r>
      <w:r>
        <w:t xml:space="preserve">Retrieval settings are held fixed, so differences in recall reflect the item-context associations formed before retrieval rather than changes in retrieval control.</w:t>
      </w:r>
      <w:r>
        <w:t xml:space="preserve"> </w:t>
      </w:r>
      <w:r>
        <w:t xml:space="preserve">Simulation 2 then examines whether film-directed retrieval control reduces the impact of those task-item associations on deliberate recall.</w:t>
      </w:r>
    </w:p>
    <w:bookmarkStart w:id="61" w:name="fig-simulation1-context-binding"/>
    <w:p>
      <w:pPr>
        <w:pStyle w:val="FigureTitle"/>
      </w:pPr>
      <w:r>
        <w:t xml:space="preserve">Figure 2</w:t>
      </w:r>
    </w:p>
    <w:p>
      <w:pPr>
        <w:pStyle w:val="Caption"/>
      </w:pPr>
      <w:r>
        <w:rPr>
          <w:b/>
          <w:bCs/>
        </w:rPr>
        <w:t xml:space="preserve">Reminder-driven context overlap makes task encoding strength consequential for film recall.</w:t>
      </w:r>
      <w:r>
        <w:t xml:space="preserve"> </w:t>
      </w:r>
      <w:r>
        <w:t xml:space="preserve">Simulation 1 demonstrates how task items can become competitors for film recall by varying task encoding strength with or without film-context reinstatement before task encoding.</w:t>
      </w:r>
      <w:r>
        <w:t xml:space="preserve"> </w:t>
      </w:r>
      <w:r>
        <w:rPr>
          <w:b/>
          <w:bCs/>
        </w:rPr>
        <w:t xml:space="preserve">(A)</w:t>
      </w:r>
      <w:r>
        <w:t xml:space="preserve"> </w:t>
      </w:r>
      <w:r>
        <w:t xml:space="preserve">Without a film reminder, task items become associated with later context states reached after drift away from the film, so stronger task encoding produces only modest redistribution from film items to task items.</w:t>
      </w:r>
      <w:r>
        <w:t xml:space="preserve"> </w:t>
      </w:r>
      <w:r>
        <w:rPr>
          <w:b/>
          <w:bCs/>
        </w:rPr>
        <w:t xml:space="preserve">(B)</w:t>
      </w:r>
      <w:r>
        <w:t xml:space="preserve"> </w:t>
      </w:r>
      <w:r>
        <w:t xml:space="preserve">With a film reminder, task items become associated with context states more similar to those associated with film items, so stronger task encoding produces larger redistribution from film items to task items.</w:t>
      </w:r>
      <w:r>
        <w:t xml:space="preserve"> </w:t>
      </w:r>
      <w:r>
        <w:rPr>
          <w:b/>
          <w:bCs/>
        </w:rPr>
        <w:t xml:space="preserve">(C)</w:t>
      </w:r>
      <w:r>
        <w:t xml:space="preserve"> </w:t>
      </w:r>
      <w:r>
        <w:t xml:space="preserve">This behavioral contrast follows from the context trace: reminder cues make the context states active during task encoding more similar to the states associated with film items.</w:t>
      </w:r>
      <w:r>
        <w:t xml:space="preserve"> </w:t>
      </w:r>
      <w:r>
        <w:rPr>
          <w:b/>
          <w:bCs/>
        </w:rPr>
        <w:t xml:space="preserve">(D)</w:t>
      </w:r>
      <w:r>
        <w:t xml:space="preserve"> </w:t>
      </w:r>
      <w:r>
        <w:t xml:space="preserve">When the model is cued with film context, stronger task encoding assigns a larger share of item support to task items, especially after a film reminder.</w:t>
      </w:r>
    </w:p>
    <w:p>
      <w:pPr>
        <w:pStyle w:val="FigureWithoutNote"/>
      </w:pPr>
      <w:r>
        <w:drawing>
          <wp:inline>
            <wp:extent cx="5943600" cy="3645598"/>
            <wp:effectExtent b="0" l="0" r="0" t="0"/>
            <wp:docPr descr="" title="" id="59" name="Picture"/>
            <a:graphic>
              <a:graphicData uri="http://schemas.openxmlformats.org/drawingml/2006/picture">
                <pic:pic>
                  <pic:nvPicPr>
                    <pic:cNvPr descr="figures/simulation1_context_binding.png" id="60" name="Picture"/>
                    <pic:cNvPicPr>
                      <a:picLocks noChangeArrowheads="1" noChangeAspect="1"/>
                    </pic:cNvPicPr>
                  </pic:nvPicPr>
                  <pic:blipFill>
                    <a:blip r:embed="rId58"/>
                    <a:stretch>
                      <a:fillRect/>
                    </a:stretch>
                  </pic:blipFill>
                  <pic:spPr bwMode="auto">
                    <a:xfrm>
                      <a:off x="0" y="0"/>
                      <a:ext cx="5943600" cy="3645598"/>
                    </a:xfrm>
                    <a:prstGeom prst="rect">
                      <a:avLst/>
                    </a:prstGeom>
                    <a:noFill/>
                    <a:ln w="9525">
                      <a:noFill/>
                      <a:headEnd/>
                      <a:tailEnd/>
                    </a:ln>
                  </pic:spPr>
                </pic:pic>
              </a:graphicData>
            </a:graphic>
          </wp:inline>
        </w:drawing>
      </w:r>
    </w:p>
    <w:bookmarkEnd w:id="61"/>
    <w:p>
      <w:pPr>
        <w:pStyle w:val="AfterWithoutNote"/>
      </w:pPr>
      <w:r>
        <w:t xml:space="preserve">Panels A and B show phase-resolved recall probability across encoded positions.</w:t>
      </w:r>
      <w:r>
        <w:t xml:space="preserve"> </w:t>
      </w:r>
      <w:r>
        <w:t xml:space="preserve">Without a film reminder, increasing task learning produces only modest loss of film recall and only modest gain in task recall, because task items become associated with later context states reached after drift away from the film.</w:t>
      </w:r>
      <w:r>
        <w:t xml:space="preserve"> </w:t>
      </w:r>
      <w:r>
        <w:t xml:space="preserve">With a film reminder, the same task-learning manipulation produces a much larger redistribution from film positions to task positions.</w:t>
      </w:r>
      <w:r>
        <w:t xml:space="preserve"> </w:t>
      </w:r>
      <w:r>
        <w:t xml:space="preserve">The with-reminder condition therefore shows that task strength matters most when task items are associated with film-relevant context states.</w:t>
      </w:r>
      <w:r>
        <w:t xml:space="preserve"> </w:t>
      </w:r>
      <w:r>
        <w:t xml:space="preserve">The serial-position curves also show that the effect is not uniform across film positions: early film recall remains relatively protected under the current settings compared with later film positions.</w:t>
      </w:r>
    </w:p>
    <w:p>
      <w:pPr>
        <w:pStyle w:val="BodyText"/>
      </w:pPr>
      <w:r>
        <w:t xml:space="preserve">Panels C and D provide model-state analyses that explain why the behavioral curves diverge.</w:t>
      </w:r>
      <w:r>
        <w:t xml:space="preserve"> </w:t>
      </w:r>
      <w:r>
        <w:t xml:space="preserve">Panel C quantifies temporal-context similarity between the states associated with film items and the states active during task encoding.</w:t>
      </w:r>
      <w:r>
        <w:t xml:space="preserve"> </w:t>
      </w:r>
      <w:r>
        <w:t xml:space="preserve">When a reminder reinstates film-associated context before task encoding, the model encodes task items in states more similar to those associated with film items.</w:t>
      </w:r>
      <w:r>
        <w:t xml:space="preserve"> </w:t>
      </w:r>
      <w:r>
        <w:t xml:space="preserve">Panel D quantifies support allocation from a film-context cue: as task context-to-feature learning increases, task items receive a larger share of item support when film contexts cue retrieval, especially after the film reminder.</w:t>
      </w:r>
      <w:r>
        <w:t xml:space="preserve"> </w:t>
      </w:r>
      <w:r>
        <w:t xml:space="preserve">The resulting impairment is therefore not a weakening of film-item storage.</w:t>
      </w:r>
      <w:r>
        <w:t xml:space="preserve"> </w:t>
      </w:r>
      <w:r>
        <w:t xml:space="preserve">It is an additive competition effect in which task items remain distinct from film items but become increasingly likely to win retrieval from film-relevant cues.</w:t>
      </w:r>
      <w:r>
        <w:t xml:space="preserve"> </w:t>
      </w:r>
      <w:r>
        <w:t xml:space="preserve">Simulation 2 next examines whether film-directed retrieval control reduces the impact of these task-item associations on deliberate recall.</w:t>
      </w:r>
    </w:p>
    <w:bookmarkEnd w:id="62"/>
    <w:bookmarkStart w:id="63" w:name="X275267fc422364c40de36a949ca283d594680dd"/>
    <w:p>
      <w:pPr>
        <w:pStyle w:val="Heading2"/>
      </w:pPr>
      <w:r>
        <w:t xml:space="preserve">Simulation 2: Retrieval Mode and Film-Directed Control</w:t>
      </w:r>
    </w:p>
    <w:p>
      <w:pPr>
        <w:pStyle w:val="FirstParagraph"/>
      </w:pPr>
      <w:r>
        <w:t xml:space="preserve">Premise: Simulation 2 adds the intentionality manipulation to the encoding conditions established in Simulation 1.</w:t>
      </w:r>
      <w:r>
        <w:t xml:space="preserve"> </w:t>
      </w:r>
      <w:r>
        <w:t xml:space="preserve">The section should compare weak or absent task support with strong post-reminder task support under unguided retrieval and deliberate recall.</w:t>
      </w:r>
      <w:r>
        <w:t xml:space="preserve"> </w:t>
      </w:r>
      <w:r>
        <w:t xml:space="preserve">It should then decompose the control settings that make deliberate recall more film-directed.</w:t>
      </w:r>
      <w:r>
        <w:t xml:space="preserve"> </w:t>
      </w:r>
      <w:r>
        <w:t xml:space="preserve">This is the first direct simulation of the selective-interference dissociation: the same task manipulation should reduce unguided retrieval more than deliberate recall.</w:t>
      </w:r>
    </w:p>
    <w:p>
      <w:pPr>
        <w:pStyle w:val="BodyText"/>
      </w:pPr>
      <w:r>
        <w:t xml:space="preserve">Primary readouts: The main figure should show phase-resolved recall for unguided retrieval and deliberate recall under matched weak and strong task conditions.</w:t>
      </w:r>
      <w:r>
        <w:t xml:space="preserve"> </w:t>
      </w:r>
      <w:r>
        <w:t xml:space="preserve">A compact summary should show film-item access and impairment from the weak-task baseline for each retrieval mode.</w:t>
      </w:r>
      <w:r>
        <w:t xml:space="preserve"> </w:t>
      </w:r>
      <w:r>
        <w:t xml:space="preserve">Task-item retrieval should remain visible enough to show whether reduced film access corresponds to retrieval of task items rather than disappearance of film items from the stored representation.</w:t>
      </w:r>
      <w:r>
        <w:t xml:space="preserve"> </w:t>
      </w:r>
      <w:r>
        <w:t xml:space="preserve">A control-decomposition panel should compare deliberate-recall settings such as film-directed start cueing, sharper selection through</w:t>
      </w:r>
      <w:r>
        <w:t xml:space="preserve"> </w:t>
      </w:r>
      <m:oMath>
        <m:r>
          <m:t>τ</m:t>
        </m:r>
      </m:oMath>
      <w:r>
        <w:t xml:space="preserve">, and target-monitoring or rejected-recall updating through</w:t>
      </w:r>
      <w:r>
        <w:t xml:space="preserve"> </w:t>
      </w:r>
      <m:oMath>
        <m:r>
          <m:t>κ</m:t>
        </m:r>
      </m:oMath>
      <w:r>
        <w:t xml:space="preserve"> </w:t>
      </w:r>
      <w:r>
        <w:t xml:space="preserve">if that mechanism remains in the simulation package.</w:t>
      </w:r>
    </w:p>
    <w:p>
      <w:pPr>
        <w:pStyle w:val="BodyText"/>
      </w:pPr>
      <w:r>
        <w:t xml:space="preserve">Intended text take-away: This section establishes the core dissociation result.</w:t>
      </w:r>
      <w:r>
        <w:t xml:space="preserve"> </w:t>
      </w:r>
      <w:r>
        <w:t xml:space="preserve">The model can produce greater impairment in unguided retrieval than in deliberate recall while both modes draw on the same learned film-item associations.</w:t>
      </w:r>
      <w:r>
        <w:t xml:space="preserve"> </w:t>
      </w:r>
      <w:r>
        <w:t xml:space="preserve">Deliberate recall may still be impaired; the claim is relative protection, not immunity.</w:t>
      </w:r>
      <w:r>
        <w:t xml:space="preserve"> </w:t>
      </w:r>
      <w:r>
        <w:t xml:space="preserve">The decomposition should show that this protection comes from control operations that make retrieval more film-directed, not from a separate voluntary-memory store.</w:t>
      </w:r>
    </w:p>
    <w:p>
      <w:pPr>
        <w:pStyle w:val="BodyText"/>
      </w:pPr>
      <w:r>
        <w:t xml:space="preserve">Open specification: Fix the deliberate-recall settings before writing this section as a result.</w:t>
      </w:r>
      <w:r>
        <w:t xml:space="preserve"> </w:t>
      </w:r>
      <w:r>
        <w:t xml:space="preserve">The core settings should emphasize film-directed start cueing and sharper selection, with target-monitoring through</w:t>
      </w:r>
      <w:r>
        <w:t xml:space="preserve"> </w:t>
      </w:r>
      <m:oMath>
        <m:r>
          <m:t>κ</m:t>
        </m:r>
      </m:oMath>
      <w:r>
        <w:t xml:space="preserve"> </w:t>
      </w:r>
      <w:r>
        <w:t xml:space="preserve">treated as core only if the implemented simulations make it necessary.</w:t>
      </w:r>
      <w:r>
        <w:t xml:space="preserve"> </w:t>
      </w:r>
      <w:r>
        <w:t xml:space="preserve">The introduction currently emphasizes film-directed cueing and sharper selection more strongly than rejected-recall updating.</w:t>
      </w:r>
    </w:p>
    <w:bookmarkEnd w:id="63"/>
    <w:bookmarkStart w:id="64" w:name="X959c89e07921dad0e6427ddac0201e22ff6b885"/>
    <w:p>
      <w:pPr>
        <w:pStyle w:val="Heading2"/>
      </w:pPr>
      <w:r>
        <w:t xml:space="preserve">Simulation 3: Task Specificity and Source-Context Overlap</w:t>
      </w:r>
    </w:p>
    <w:p>
      <w:pPr>
        <w:pStyle w:val="FirstParagraph"/>
      </w:pPr>
      <w:r>
        <w:t xml:space="preserve">Premise: This simulation asks what makes a visuospatial task effective in model terms.</w:t>
      </w:r>
      <w:r>
        <w:t xml:space="preserve"> </w:t>
      </w:r>
      <w:r>
        <w:t xml:space="preserve">Competitor strength is one route by which task items become effective competitors.</w:t>
      </w:r>
      <w:r>
        <w:t xml:space="preserve"> </w:t>
      </w:r>
      <w:r>
        <w:t xml:space="preserve">Temporal and source-context overlap can amplify that competition when task items are cued alongside film items.</w:t>
      </w:r>
      <w:r>
        <w:t xml:space="preserve"> </w:t>
      </w:r>
      <w:r>
        <w:t xml:space="preserve">This section should distinguish model-level task properties from the surface label of a task as visuospatial.</w:t>
      </w:r>
    </w:p>
    <w:p>
      <w:pPr>
        <w:pStyle w:val="BodyText"/>
      </w:pPr>
      <w:r>
        <w:t xml:space="preserve">Primary readouts: The figure should show film-item access and task-competitor retrieval under task-strength and source-context-overlap variants.</w:t>
      </w:r>
      <w:r>
        <w:t xml:space="preserve"> </w:t>
      </w:r>
      <w:r>
        <w:t xml:space="preserve">If contextual overlap is also varied here, the display should make clear which factor changes competitor recruitment and which factor changes competitor success once cued.</w:t>
      </w:r>
      <w:r>
        <w:t xml:space="preserve"> </w:t>
      </w:r>
      <w:r>
        <w:t xml:space="preserve">Phase-resolved recall remains useful because the model’s explanation depends on task items entering retrieval alongside film items.</w:t>
      </w:r>
    </w:p>
    <w:p>
      <w:pPr>
        <w:pStyle w:val="BodyText"/>
      </w:pPr>
      <w:r>
        <w:t xml:space="preserve">Intended text take-away: The account does not require a special trace-weakening effect of visuospatial tasks.</w:t>
      </w:r>
      <w:r>
        <w:t xml:space="preserve"> </w:t>
      </w:r>
      <w:r>
        <w:t xml:space="preserve">Task effectiveness can be decomposed into retrieved-context properties: competitor strength, temporal-context overlap, source-context overlap, or their combination.</w:t>
      </w:r>
      <w:r>
        <w:t xml:space="preserve"> </w:t>
      </w:r>
      <w:r>
        <w:t xml:space="preserve">Source matching can be used as a sensitivity extension if it is run as a specific manipulation, but it should not become the main explanation unless the simulations make it central.</w:t>
      </w:r>
    </w:p>
    <w:p>
      <w:pPr>
        <w:pStyle w:val="BodyText"/>
      </w:pPr>
      <w:r>
        <w:t xml:space="preserve">Open specification: Decide whether source-context overlap is a main simulation or a sensitivity analysis.</w:t>
      </w:r>
      <w:r>
        <w:t xml:space="preserve"> </w:t>
      </w:r>
      <w:r>
        <w:t xml:space="preserve">Decide whether comparison-task conditions are best represented as weak task learning, lower temporal overlap, lower source overlap, or a particular combination tied to an empirical contrast.</w:t>
      </w:r>
      <w:r>
        <w:t xml:space="preserve"> </w:t>
      </w:r>
      <w:r>
        <w:t xml:space="preserve">Reminder timing is not a separate numbered package in the current scaffold; graded reminder reinstatement or drift can enter here only if needed to specify contextual overlap for task-specificity contrasts.</w:t>
      </w:r>
    </w:p>
    <w:bookmarkEnd w:id="64"/>
    <w:bookmarkStart w:id="65" w:name="Xbb86edf9a8761741bf156e8f8f4d3ff038dd223"/>
    <w:p>
      <w:pPr>
        <w:pStyle w:val="Heading2"/>
      </w:pPr>
      <w:r>
        <w:t xml:space="preserve">Simulation 4: Cue Support and Test-Format Extensions</w:t>
      </w:r>
    </w:p>
    <w:p>
      <w:pPr>
        <w:pStyle w:val="FirstParagraph"/>
      </w:pPr>
      <w:r>
        <w:t xml:space="preserve">Premise: Intrusion diaries, vigilance-style monitoring, free recall, cued recall, and recognition-like tests differ in how much they rely on broad context-to-feature search versus film-directed retrieval support.</w:t>
      </w:r>
      <w:r>
        <w:t xml:space="preserve"> </w:t>
      </w:r>
      <w:r>
        <w:t xml:space="preserve">This section asks how film-related monitoring cues and tests that supply a film item alter vulnerability to task interference.</w:t>
      </w:r>
      <w:r>
        <w:t xml:space="preserve"> </w:t>
      </w:r>
      <w:r>
        <w:t xml:space="preserve">The section should only become a simulation result if each test format is assigned a concrete retrieval or cueing setting.</w:t>
      </w:r>
      <w:r>
        <w:t xml:space="preserve"> </w:t>
      </w:r>
      <w:r>
        <w:t xml:space="preserve">Candidate settings include unguided retrieval from ongoing context, monitoring with film-related cues, deliberate recall with film-directed start cueing, cued recall with stronger external support, and supplied-film-item access.</w:t>
      </w:r>
    </w:p>
    <w:p>
      <w:pPr>
        <w:pStyle w:val="BodyText"/>
      </w:pPr>
      <w:r>
        <w:t xml:space="preserve">Primary readouts: The figure should show a graded vulnerability profile across retrieval and cueing settings under the same stored associations.</w:t>
      </w:r>
      <w:r>
        <w:t xml:space="preserve"> </w:t>
      </w:r>
      <w:r>
        <w:t xml:space="preserve">The useful result is a continuum of film-item impairment across broad unguided search, film-cued monitoring, deliberate recall, and supplied-film-item access.</w:t>
      </w:r>
      <w:r>
        <w:t xml:space="preserve"> </w:t>
      </w:r>
      <w:r>
        <w:t xml:space="preserve">The display should avoid implying a full recognition decision model unless such a mechanism is added.</w:t>
      </w:r>
    </w:p>
    <w:p>
      <w:pPr>
        <w:pStyle w:val="BodyText"/>
      </w:pPr>
      <w:r>
        <w:t xml:space="preserve">Intended text take-away: This section interprets heterogeneity across empirical paradigms without treating intrusion and voluntary memory as fixed computational kinds.</w:t>
      </w:r>
      <w:r>
        <w:t xml:space="preserve"> </w:t>
      </w:r>
      <w:r>
        <w:t xml:space="preserve">The model predicts a continuum of vulnerability depending on how much the task supports film-directed retrieval or supplies film items as cues.</w:t>
      </w:r>
      <w:r>
        <w:t xml:space="preserve"> </w:t>
      </w:r>
      <w:r>
        <w:t xml:space="preserve">Cue-rich tests should narrow the intrusion-voluntary-memory dissociation because they reduce reliance on broad context-to-feature sampling.</w:t>
      </w:r>
    </w:p>
    <w:p>
      <w:pPr>
        <w:pStyle w:val="BodyText"/>
      </w:pPr>
      <w:r>
        <w:t xml:space="preserve">Open specification: The mapping from empirical test format to model setting is the main unresolved piece.</w:t>
      </w:r>
      <w:r>
        <w:t xml:space="preserve"> </w:t>
      </w:r>
      <w:r>
        <w:t xml:space="preserve">If the mapping remains qualitative, this material belongs in the discussion rather than as a numbered simulation.</w:t>
      </w:r>
      <w:r>
        <w:t xml:space="preserve"> </w:t>
      </w:r>
      <w:r>
        <w:t xml:space="preserve">Decide whether supplied-film-item access is implemented strongly enough to justify splitting this section into a separate recognition-like simulation later.</w:t>
      </w:r>
    </w:p>
    <w:bookmarkEnd w:id="65"/>
    <w:bookmarkEnd w:id="66"/>
    <w:bookmarkStart w:id="67" w:name="general-discussion"/>
    <w:p>
      <w:pPr>
        <w:pStyle w:val="Heading1"/>
      </w:pPr>
      <w:r>
        <w:t xml:space="preserve">General Discussion</w:t>
      </w:r>
    </w:p>
    <w:bookmarkEnd w:id="67"/>
    <w:bookmarkStart w:id="138" w:name="references"/>
    <w:p>
      <w:pPr>
        <w:pStyle w:val="Heading1"/>
      </w:pPr>
      <w:r>
        <w:t xml:space="preserve">References</w:t>
      </w:r>
    </w:p>
    <w:bookmarkStart w:id="137" w:name="refs"/>
    <w:bookmarkStart w:id="69"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68">
        <w:r>
          <w:rPr>
            <w:rStyle w:val="Hyperlink"/>
          </w:rPr>
          <w:t xml:space="preserve">https://doi.org/10.1016/j.jpsychires.2023.01.028</w:t>
        </w:r>
      </w:hyperlink>
    </w:p>
    <w:bookmarkEnd w:id="69"/>
    <w:bookmarkStart w:id="71"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70">
        <w:r>
          <w:rPr>
            <w:rStyle w:val="Hyperlink"/>
          </w:rPr>
          <w:t xml:space="preserve">https://doi.org/10.1037/a0033722</w:t>
        </w:r>
      </w:hyperlink>
    </w:p>
    <w:bookmarkEnd w:id="71"/>
    <w:bookmarkStart w:id="73"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72">
        <w:r>
          <w:rPr>
            <w:rStyle w:val="Hyperlink"/>
          </w:rPr>
          <w:t xml:space="preserve">https://doi.org/10.1037/0033-295X.103.4.670</w:t>
        </w:r>
      </w:hyperlink>
    </w:p>
    <w:bookmarkEnd w:id="73"/>
    <w:bookmarkStart w:id="75"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74">
        <w:r>
          <w:rPr>
            <w:rStyle w:val="Hyperlink"/>
          </w:rPr>
          <w:t xml:space="preserve">https://doi.org/10.1037/a0018113</w:t>
        </w:r>
      </w:hyperlink>
    </w:p>
    <w:bookmarkEnd w:id="75"/>
    <w:bookmarkStart w:id="77"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76">
        <w:r>
          <w:rPr>
            <w:rStyle w:val="Hyperlink"/>
          </w:rPr>
          <w:t xml:space="preserve">https://doi.org/10.1037/rev0000334</w:t>
        </w:r>
      </w:hyperlink>
    </w:p>
    <w:bookmarkEnd w:id="77"/>
    <w:bookmarkStart w:id="79"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78">
        <w:r>
          <w:rPr>
            <w:rStyle w:val="Hyperlink"/>
          </w:rPr>
          <w:t xml:space="preserve">https://doi.org/10.1016/j.jbtep.2011.10.008</w:t>
        </w:r>
      </w:hyperlink>
    </w:p>
    <w:bookmarkEnd w:id="79"/>
    <w:bookmarkStart w:id="80"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80"/>
    <w:bookmarkStart w:id="82"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81">
        <w:r>
          <w:rPr>
            <w:rStyle w:val="Hyperlink"/>
          </w:rPr>
          <w:t xml:space="preserve">https://doi.org/10.1016/S0005-7967(99)00123-0</w:t>
        </w:r>
      </w:hyperlink>
    </w:p>
    <w:bookmarkEnd w:id="82"/>
    <w:bookmarkStart w:id="84"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83">
        <w:r>
          <w:rPr>
            <w:rStyle w:val="Hyperlink"/>
          </w:rPr>
          <w:t xml:space="preserve">https://doi.org/10.1016/j.actpsy.2007.11.002</w:t>
        </w:r>
      </w:hyperlink>
    </w:p>
    <w:bookmarkEnd w:id="84"/>
    <w:bookmarkStart w:id="86"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85">
        <w:r>
          <w:rPr>
            <w:rStyle w:val="Hyperlink"/>
          </w:rPr>
          <w:t xml:space="preserve">https://doi.org/10.1037/0096-3445.133.1.3</w:t>
        </w:r>
      </w:hyperlink>
    </w:p>
    <w:bookmarkEnd w:id="86"/>
    <w:bookmarkStart w:id="88"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87">
        <w:r>
          <w:rPr>
            <w:rStyle w:val="Hyperlink"/>
          </w:rPr>
          <w:t xml:space="preserve">https://doi.org/10.1371/journal.pone.0004153</w:t>
        </w:r>
      </w:hyperlink>
    </w:p>
    <w:bookmarkEnd w:id="88"/>
    <w:bookmarkStart w:id="90"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89">
        <w:r>
          <w:rPr>
            <w:rStyle w:val="Hyperlink"/>
          </w:rPr>
          <w:t xml:space="preserve">https://doi.org/10.1371/journal.pone.0013706</w:t>
        </w:r>
      </w:hyperlink>
    </w:p>
    <w:bookmarkEnd w:id="90"/>
    <w:bookmarkStart w:id="92"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91">
        <w:r>
          <w:rPr>
            <w:rStyle w:val="Hyperlink"/>
          </w:rPr>
          <w:t xml:space="preserve">https://doi.org/10.1016/j.brat.2017.03.018</w:t>
        </w:r>
      </w:hyperlink>
    </w:p>
    <w:bookmarkEnd w:id="92"/>
    <w:bookmarkStart w:id="94"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93">
        <w:r>
          <w:rPr>
            <w:rStyle w:val="Hyperlink"/>
          </w:rPr>
          <w:t xml:space="preserve">https://doi.org/10.1006/jmps.2001.1388</w:t>
        </w:r>
      </w:hyperlink>
    </w:p>
    <w:bookmarkEnd w:id="94"/>
    <w:bookmarkStart w:id="95"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95"/>
    <w:bookmarkStart w:id="97"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96">
        <w:r>
          <w:rPr>
            <w:rStyle w:val="Hyperlink"/>
          </w:rPr>
          <w:t xml:space="preserve">https://doi.org/10.1038/mp.2017.23</w:t>
        </w:r>
      </w:hyperlink>
    </w:p>
    <w:bookmarkEnd w:id="97"/>
    <w:bookmarkStart w:id="99"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98">
        <w:r>
          <w:rPr>
            <w:rStyle w:val="Hyperlink"/>
          </w:rPr>
          <w:t xml:space="preserve">https://doi.org/10.1016/j.cpr.2018.08.005</w:t>
        </w:r>
      </w:hyperlink>
    </w:p>
    <w:bookmarkEnd w:id="99"/>
    <w:bookmarkStart w:id="101"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00">
        <w:r>
          <w:rPr>
            <w:rStyle w:val="Hyperlink"/>
          </w:rPr>
          <w:t xml:space="preserve">https://doi.org/10.1177/0956797615583071</w:t>
        </w:r>
      </w:hyperlink>
    </w:p>
    <w:bookmarkEnd w:id="101"/>
    <w:bookmarkStart w:id="103"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02">
        <w:r>
          <w:rPr>
            <w:rStyle w:val="Hyperlink"/>
          </w:rPr>
          <w:t xml:space="preserve">https://doi.org/10.1016/j.cpr.2016.04.010</w:t>
        </w:r>
      </w:hyperlink>
    </w:p>
    <w:bookmarkEnd w:id="103"/>
    <w:bookmarkStart w:id="10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04"/>
    <w:bookmarkStart w:id="106"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05">
        <w:r>
          <w:rPr>
            <w:rStyle w:val="Hyperlink"/>
          </w:rPr>
          <w:t xml:space="preserve">https://doi.org/10.1002/cpp.2489</w:t>
        </w:r>
      </w:hyperlink>
    </w:p>
    <w:bookmarkEnd w:id="106"/>
    <w:bookmarkStart w:id="108"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07">
        <w:r>
          <w:rPr>
            <w:rStyle w:val="Hyperlink"/>
          </w:rPr>
          <w:t xml:space="preserve">https://doi.org/10.1016/j.jbtep.2019.01.006</w:t>
        </w:r>
      </w:hyperlink>
    </w:p>
    <w:bookmarkEnd w:id="108"/>
    <w:bookmarkStart w:id="110"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09">
        <w:r>
          <w:rPr>
            <w:rStyle w:val="Hyperlink"/>
          </w:rPr>
          <w:t xml:space="preserve">https://doi.org/10.1038/nn.2271</w:t>
        </w:r>
      </w:hyperlink>
    </w:p>
    <w:bookmarkEnd w:id="110"/>
    <w:bookmarkStart w:id="112"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11">
        <w:r>
          <w:rPr>
            <w:rStyle w:val="Hyperlink"/>
          </w:rPr>
          <w:t xml:space="preserve">https://doi.org/10.1002/acp.1611</w:t>
        </w:r>
      </w:hyperlink>
    </w:p>
    <w:bookmarkEnd w:id="112"/>
    <w:bookmarkStart w:id="114"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13">
        <w:r>
          <w:rPr>
            <w:rStyle w:val="Hyperlink"/>
          </w:rPr>
          <w:t xml:space="preserve">https://doi.org/10.1037/xge0000598</w:t>
        </w:r>
      </w:hyperlink>
    </w:p>
    <w:bookmarkEnd w:id="114"/>
    <w:bookmarkStart w:id="116"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15">
        <w:r>
          <w:rPr>
            <w:rStyle w:val="Hyperlink"/>
          </w:rPr>
          <w:t xml:space="preserve">https://doi.org/10.1177/2167702621998315</w:t>
        </w:r>
      </w:hyperlink>
    </w:p>
    <w:bookmarkEnd w:id="116"/>
    <w:bookmarkStart w:id="118"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17">
        <w:r>
          <w:rPr>
            <w:rStyle w:val="Hyperlink"/>
          </w:rPr>
          <w:t xml:space="preserve">https://doi.org/10.1037/a0039036</w:t>
        </w:r>
      </w:hyperlink>
    </w:p>
    <w:bookmarkEnd w:id="118"/>
    <w:bookmarkStart w:id="120"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19">
        <w:r>
          <w:rPr>
            <w:rStyle w:val="Hyperlink"/>
          </w:rPr>
          <w:t xml:space="preserve">https://doi.org/10.1037/a0014420</w:t>
        </w:r>
      </w:hyperlink>
    </w:p>
    <w:bookmarkEnd w:id="120"/>
    <w:bookmarkStart w:id="122"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21">
        <w:r>
          <w:rPr>
            <w:rStyle w:val="Hyperlink"/>
          </w:rPr>
          <w:t xml:space="preserve">https://doi.org/10.1016/j.neuropsychologia.2009.02.013</w:t>
        </w:r>
      </w:hyperlink>
    </w:p>
    <w:bookmarkEnd w:id="122"/>
    <w:bookmarkStart w:id="124"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23">
        <w:r>
          <w:rPr>
            <w:rStyle w:val="Hyperlink"/>
          </w:rPr>
          <w:t xml:space="preserve">https://doi.org/10.3758/s13423-011-0086-9</w:t>
        </w:r>
      </w:hyperlink>
    </w:p>
    <w:bookmarkEnd w:id="124"/>
    <w:bookmarkStart w:id="126"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25">
        <w:r>
          <w:rPr>
            <w:rStyle w:val="Hyperlink"/>
          </w:rPr>
          <w:t xml:space="preserve">https://doi.org/10.1037/a0013396</w:t>
        </w:r>
      </w:hyperlink>
    </w:p>
    <w:bookmarkEnd w:id="126"/>
    <w:bookmarkStart w:id="128"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27">
        <w:r>
          <w:rPr>
            <w:rStyle w:val="Hyperlink"/>
          </w:rPr>
          <w:t xml:space="preserve">https://doi.org/10.1037/rev0000132</w:t>
        </w:r>
      </w:hyperlink>
    </w:p>
    <w:bookmarkEnd w:id="128"/>
    <w:bookmarkStart w:id="130"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29">
        <w:r>
          <w:rPr>
            <w:rStyle w:val="Hyperlink"/>
          </w:rPr>
          <w:t xml:space="preserve">https://doi.org/10.1038/s41562-024-01956-y</w:t>
        </w:r>
      </w:hyperlink>
    </w:p>
    <w:bookmarkEnd w:id="130"/>
    <w:bookmarkStart w:id="132"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31">
        <w:r>
          <w:rPr>
            <w:rStyle w:val="Hyperlink"/>
          </w:rPr>
          <w:t xml:space="preserve">https://doi.org/10.1525/collabra.130791</w:t>
        </w:r>
      </w:hyperlink>
    </w:p>
    <w:bookmarkEnd w:id="132"/>
    <w:bookmarkStart w:id="134" w:name="ref-yonelinas2019contextual"/>
    <w:p>
      <w:pPr>
        <w:pStyle w:val="Bibliography"/>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w:t>
      </w:r>
      <w:r>
        <w:t xml:space="preserve"> </w:t>
      </w:r>
      <w:r>
        <w:rPr>
          <w:i/>
          <w:iCs/>
        </w:rPr>
        <w:t xml:space="preserve">20</w:t>
      </w:r>
      <w:r>
        <w:t xml:space="preserve">(6), 364–375.</w:t>
      </w:r>
      <w:r>
        <w:t xml:space="preserve"> </w:t>
      </w:r>
      <w:hyperlink r:id="rId133">
        <w:r>
          <w:rPr>
            <w:rStyle w:val="Hyperlink"/>
          </w:rPr>
          <w:t xml:space="preserve">https://doi.org/10.1038/s41583-019-0150-4</w:t>
        </w:r>
      </w:hyperlink>
    </w:p>
    <w:bookmarkEnd w:id="134"/>
    <w:bookmarkStart w:id="136"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35">
        <w:r>
          <w:rPr>
            <w:rStyle w:val="Hyperlink"/>
          </w:rPr>
          <w:t xml:space="preserve">https://doi.org/10.1037/0278-7393.32.4.792</w:t>
        </w:r>
      </w:hyperlink>
    </w:p>
    <w:bookmarkEnd w:id="136"/>
    <w:bookmarkEnd w:id="137"/>
    <w:bookmarkEnd w:id="13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25" Target="media/rId25.png" /><Relationship Type="http://schemas.openxmlformats.org/officeDocument/2006/relationships/hyperlink" Id="rId111" Target="https://doi.org/10.1002/acp.1611" TargetMode="External" /><Relationship Type="http://schemas.openxmlformats.org/officeDocument/2006/relationships/hyperlink" Id="rId105" Target="https://doi.org/10.1002/cpp.2489" TargetMode="External" /><Relationship Type="http://schemas.openxmlformats.org/officeDocument/2006/relationships/hyperlink" Id="rId93" Target="https://doi.org/10.1006/jmps.2001.1388" TargetMode="External" /><Relationship Type="http://schemas.openxmlformats.org/officeDocument/2006/relationships/hyperlink" Id="rId81" Target="https://doi.org/10.1016/S0005-7967(99)00123-0" TargetMode="External" /><Relationship Type="http://schemas.openxmlformats.org/officeDocument/2006/relationships/hyperlink" Id="rId83" Target="https://doi.org/10.1016/j.actpsy.2007.11.002" TargetMode="External" /><Relationship Type="http://schemas.openxmlformats.org/officeDocument/2006/relationships/hyperlink" Id="rId91" Target="https://doi.org/10.1016/j.brat.2017.03.018" TargetMode="External" /><Relationship Type="http://schemas.openxmlformats.org/officeDocument/2006/relationships/hyperlink" Id="rId102" Target="https://doi.org/10.1016/j.cpr.2016.04.010" TargetMode="External" /><Relationship Type="http://schemas.openxmlformats.org/officeDocument/2006/relationships/hyperlink" Id="rId98" Target="https://doi.org/10.1016/j.cpr.2018.08.005" TargetMode="External" /><Relationship Type="http://schemas.openxmlformats.org/officeDocument/2006/relationships/hyperlink" Id="rId78" Target="https://doi.org/10.1016/j.jbtep.2011.10.008" TargetMode="External" /><Relationship Type="http://schemas.openxmlformats.org/officeDocument/2006/relationships/hyperlink" Id="rId107" Target="https://doi.org/10.1016/j.jbtep.2019.01.006" TargetMode="External" /><Relationship Type="http://schemas.openxmlformats.org/officeDocument/2006/relationships/hyperlink" Id="rId68" Target="https://doi.org/10.1016/j.jpsychires.2023.01.028" TargetMode="External" /><Relationship Type="http://schemas.openxmlformats.org/officeDocument/2006/relationships/hyperlink" Id="rId121" Target="https://doi.org/10.1016/j.neuropsychologia.2009.02.013" TargetMode="External" /><Relationship Type="http://schemas.openxmlformats.org/officeDocument/2006/relationships/hyperlink" Id="rId72" Target="https://doi.org/10.1037/0033-295X.103.4.670" TargetMode="External" /><Relationship Type="http://schemas.openxmlformats.org/officeDocument/2006/relationships/hyperlink" Id="rId85" Target="https://doi.org/10.1037/0096-3445.133.1.3" TargetMode="External" /><Relationship Type="http://schemas.openxmlformats.org/officeDocument/2006/relationships/hyperlink" Id="rId135" Target="https://doi.org/10.1037/0278-7393.32.4.792" TargetMode="External" /><Relationship Type="http://schemas.openxmlformats.org/officeDocument/2006/relationships/hyperlink" Id="rId125" Target="https://doi.org/10.1037/a0013396" TargetMode="External" /><Relationship Type="http://schemas.openxmlformats.org/officeDocument/2006/relationships/hyperlink" Id="rId119" Target="https://doi.org/10.1037/a0014420" TargetMode="External" /><Relationship Type="http://schemas.openxmlformats.org/officeDocument/2006/relationships/hyperlink" Id="rId74" Target="https://doi.org/10.1037/a0018113" TargetMode="External" /><Relationship Type="http://schemas.openxmlformats.org/officeDocument/2006/relationships/hyperlink" Id="rId70" Target="https://doi.org/10.1037/a0033722" TargetMode="External" /><Relationship Type="http://schemas.openxmlformats.org/officeDocument/2006/relationships/hyperlink" Id="rId117" Target="https://doi.org/10.1037/a0039036" TargetMode="External" /><Relationship Type="http://schemas.openxmlformats.org/officeDocument/2006/relationships/hyperlink" Id="rId127" Target="https://doi.org/10.1037/rev0000132" TargetMode="External" /><Relationship Type="http://schemas.openxmlformats.org/officeDocument/2006/relationships/hyperlink" Id="rId76" Target="https://doi.org/10.1037/rev0000334" TargetMode="External" /><Relationship Type="http://schemas.openxmlformats.org/officeDocument/2006/relationships/hyperlink" Id="rId113" Target="https://doi.org/10.1037/xge0000598" TargetMode="External" /><Relationship Type="http://schemas.openxmlformats.org/officeDocument/2006/relationships/hyperlink" Id="rId96" Target="https://doi.org/10.1038/mp.2017.23" TargetMode="External" /><Relationship Type="http://schemas.openxmlformats.org/officeDocument/2006/relationships/hyperlink" Id="rId109" Target="https://doi.org/10.1038/nn.2271" TargetMode="External" /><Relationship Type="http://schemas.openxmlformats.org/officeDocument/2006/relationships/hyperlink" Id="rId129" Target="https://doi.org/10.1038/s41562-024-01956-y" TargetMode="External" /><Relationship Type="http://schemas.openxmlformats.org/officeDocument/2006/relationships/hyperlink" Id="rId133" Target="https://doi.org/10.1038/s41583-019-0150-4" TargetMode="External" /><Relationship Type="http://schemas.openxmlformats.org/officeDocument/2006/relationships/hyperlink" Id="rId100" Target="https://doi.org/10.1177/0956797615583071" TargetMode="External" /><Relationship Type="http://schemas.openxmlformats.org/officeDocument/2006/relationships/hyperlink" Id="rId115" Target="https://doi.org/10.1177/2167702621998315" TargetMode="External" /><Relationship Type="http://schemas.openxmlformats.org/officeDocument/2006/relationships/hyperlink" Id="rId87" Target="https://doi.org/10.1371/journal.pone.0004153" TargetMode="External" /><Relationship Type="http://schemas.openxmlformats.org/officeDocument/2006/relationships/hyperlink" Id="rId89" Target="https://doi.org/10.1371/journal.pone.0013706" TargetMode="External" /><Relationship Type="http://schemas.openxmlformats.org/officeDocument/2006/relationships/hyperlink" Id="rId131" Target="https://doi.org/10.1525/collabra.130791" TargetMode="External" /><Relationship Type="http://schemas.openxmlformats.org/officeDocument/2006/relationships/hyperlink" Id="rId123"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2/acp.1611" TargetMode="External" /><Relationship Type="http://schemas.openxmlformats.org/officeDocument/2006/relationships/hyperlink" Id="rId105" Target="https://doi.org/10.1002/cpp.2489" TargetMode="External" /><Relationship Type="http://schemas.openxmlformats.org/officeDocument/2006/relationships/hyperlink" Id="rId93" Target="https://doi.org/10.1006/jmps.2001.1388" TargetMode="External" /><Relationship Type="http://schemas.openxmlformats.org/officeDocument/2006/relationships/hyperlink" Id="rId81" Target="https://doi.org/10.1016/S0005-7967(99)00123-0" TargetMode="External" /><Relationship Type="http://schemas.openxmlformats.org/officeDocument/2006/relationships/hyperlink" Id="rId83" Target="https://doi.org/10.1016/j.actpsy.2007.11.002" TargetMode="External" /><Relationship Type="http://schemas.openxmlformats.org/officeDocument/2006/relationships/hyperlink" Id="rId91" Target="https://doi.org/10.1016/j.brat.2017.03.018" TargetMode="External" /><Relationship Type="http://schemas.openxmlformats.org/officeDocument/2006/relationships/hyperlink" Id="rId102" Target="https://doi.org/10.1016/j.cpr.2016.04.010" TargetMode="External" /><Relationship Type="http://schemas.openxmlformats.org/officeDocument/2006/relationships/hyperlink" Id="rId98" Target="https://doi.org/10.1016/j.cpr.2018.08.005" TargetMode="External" /><Relationship Type="http://schemas.openxmlformats.org/officeDocument/2006/relationships/hyperlink" Id="rId78" Target="https://doi.org/10.1016/j.jbtep.2011.10.008" TargetMode="External" /><Relationship Type="http://schemas.openxmlformats.org/officeDocument/2006/relationships/hyperlink" Id="rId107" Target="https://doi.org/10.1016/j.jbtep.2019.01.006" TargetMode="External" /><Relationship Type="http://schemas.openxmlformats.org/officeDocument/2006/relationships/hyperlink" Id="rId68" Target="https://doi.org/10.1016/j.jpsychires.2023.01.028" TargetMode="External" /><Relationship Type="http://schemas.openxmlformats.org/officeDocument/2006/relationships/hyperlink" Id="rId121" Target="https://doi.org/10.1016/j.neuropsychologia.2009.02.013" TargetMode="External" /><Relationship Type="http://schemas.openxmlformats.org/officeDocument/2006/relationships/hyperlink" Id="rId72" Target="https://doi.org/10.1037/0033-295X.103.4.670" TargetMode="External" /><Relationship Type="http://schemas.openxmlformats.org/officeDocument/2006/relationships/hyperlink" Id="rId85" Target="https://doi.org/10.1037/0096-3445.133.1.3" TargetMode="External" /><Relationship Type="http://schemas.openxmlformats.org/officeDocument/2006/relationships/hyperlink" Id="rId135" Target="https://doi.org/10.1037/0278-7393.32.4.792" TargetMode="External" /><Relationship Type="http://schemas.openxmlformats.org/officeDocument/2006/relationships/hyperlink" Id="rId125" Target="https://doi.org/10.1037/a0013396" TargetMode="External" /><Relationship Type="http://schemas.openxmlformats.org/officeDocument/2006/relationships/hyperlink" Id="rId119" Target="https://doi.org/10.1037/a0014420" TargetMode="External" /><Relationship Type="http://schemas.openxmlformats.org/officeDocument/2006/relationships/hyperlink" Id="rId74" Target="https://doi.org/10.1037/a0018113" TargetMode="External" /><Relationship Type="http://schemas.openxmlformats.org/officeDocument/2006/relationships/hyperlink" Id="rId70" Target="https://doi.org/10.1037/a0033722" TargetMode="External" /><Relationship Type="http://schemas.openxmlformats.org/officeDocument/2006/relationships/hyperlink" Id="rId117" Target="https://doi.org/10.1037/a0039036" TargetMode="External" /><Relationship Type="http://schemas.openxmlformats.org/officeDocument/2006/relationships/hyperlink" Id="rId127" Target="https://doi.org/10.1037/rev0000132" TargetMode="External" /><Relationship Type="http://schemas.openxmlformats.org/officeDocument/2006/relationships/hyperlink" Id="rId76" Target="https://doi.org/10.1037/rev0000334" TargetMode="External" /><Relationship Type="http://schemas.openxmlformats.org/officeDocument/2006/relationships/hyperlink" Id="rId113" Target="https://doi.org/10.1037/xge0000598" TargetMode="External" /><Relationship Type="http://schemas.openxmlformats.org/officeDocument/2006/relationships/hyperlink" Id="rId96" Target="https://doi.org/10.1038/mp.2017.23" TargetMode="External" /><Relationship Type="http://schemas.openxmlformats.org/officeDocument/2006/relationships/hyperlink" Id="rId109" Target="https://doi.org/10.1038/nn.2271" TargetMode="External" /><Relationship Type="http://schemas.openxmlformats.org/officeDocument/2006/relationships/hyperlink" Id="rId129" Target="https://doi.org/10.1038/s41562-024-01956-y" TargetMode="External" /><Relationship Type="http://schemas.openxmlformats.org/officeDocument/2006/relationships/hyperlink" Id="rId133" Target="https://doi.org/10.1038/s41583-019-0150-4" TargetMode="External" /><Relationship Type="http://schemas.openxmlformats.org/officeDocument/2006/relationships/hyperlink" Id="rId100" Target="https://doi.org/10.1177/0956797615583071" TargetMode="External" /><Relationship Type="http://schemas.openxmlformats.org/officeDocument/2006/relationships/hyperlink" Id="rId115" Target="https://doi.org/10.1177/2167702621998315" TargetMode="External" /><Relationship Type="http://schemas.openxmlformats.org/officeDocument/2006/relationships/hyperlink" Id="rId87" Target="https://doi.org/10.1371/journal.pone.0004153" TargetMode="External" /><Relationship Type="http://schemas.openxmlformats.org/officeDocument/2006/relationships/hyperlink" Id="rId89" Target="https://doi.org/10.1371/journal.pone.0013706" TargetMode="External" /><Relationship Type="http://schemas.openxmlformats.org/officeDocument/2006/relationships/hyperlink" Id="rId131" Target="https://doi.org/10.1525/collabra.130791" TargetMode="External" /><Relationship Type="http://schemas.openxmlformats.org/officeDocument/2006/relationships/hyperlink" Id="rId123"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2026-05-23T07:56:26Z</dcterms:created>
  <dcterms:modified xsi:type="dcterms:W3CDTF">2026-05-23T07:56:26Z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