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binds task representations to overlapping context.</w:t>
      </w:r>
      <w:r>
        <w:t xml:space="preserve"> </w:t>
      </w:r>
      <w:r>
        <w:t xml:space="preserve">When later retrieval contexts cue both film items and task competitors, uncontrolled retrieval from context cues is less likely to sample trauma-film items in intrusion-like retrieval, even though film-item strength is not reduced.</w:t>
      </w:r>
      <w:r>
        <w:t xml:space="preserve"> </w:t>
      </w:r>
      <w:r>
        <w:t xml:space="preserve">Deliberate recall is less vulnerable when task goals and control processes reinstate film context and prioritize film items over competitors for retrieval; film-related cues can also steer retrieval toward film context across test formats.</w:t>
      </w:r>
      <w:r>
        <w:t xml:space="preserve"> </w:t>
      </w:r>
      <w:r>
        <w:t xml:space="preserve">Together, the simulations reproduce selective impairment of intrusion-like retrieval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uncontrolled and controlled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or after a later film reminder, subsequent intrusions can be reduced while voluntary memory for the same material shows little measurable impairment</w:t>
      </w:r>
      <w:r>
        <w:t xml:space="preserve"> </w:t>
      </w:r>
      <w:r>
        <w:t xml:space="preserve">(</w:t>
      </w:r>
      <w:hyperlink w:anchor="ref-asselbergs2023systematic">
        <w:r>
          <w:rPr>
            <w:rStyle w:val="Hyperlink"/>
          </w:rPr>
          <w:t xml:space="preserve">Asselbergs et al., 2023</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Even for memories of real-life traumatic events, including motor vehicle accidents, emergency caesarean section, and war-related trauma, the same post-reminder intervention can reduce intrusions while leaving deliberate recall relatively intact</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interpretation treats the selective interference effect as evidence for separable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Under this dual-representation account, traumatic experience produces distinct sensory and contextual memory traces — the first supporting involuntary re-experiencing,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A visuospatial interference task competes for the perceptual processing resources needed to consolidate the sensory trace, reducing later intrusions while leaving the contextual trace and the voluntary memory it supports relatively intact</w:t>
      </w:r>
      <w:r>
        <w:t xml:space="preserve"> </w:t>
      </w:r>
      <w:r>
        <w:t xml:space="preserve">(</w:t>
      </w:r>
      <w:hyperlink w:anchor="ref-holmes2009can">
        <w:r>
          <w:rPr>
            <w:rStyle w:val="Hyperlink"/>
          </w:rPr>
          <w:t xml:space="preserve">Holmes et al., 2009</w:t>
        </w:r>
      </w:hyperlink>
      <w:r>
        <w:t xml:space="preserve">;</w:t>
      </w:r>
      <w:r>
        <w:t xml:space="preserve"> </w:t>
      </w:r>
      <w:hyperlink w:anchor="ref-james2015computer">
        <w:r>
          <w:rPr>
            <w:rStyle w:val="Hyperlink"/>
          </w:rPr>
          <w:t xml:space="preserve">James et al., 2015</w:t>
        </w:r>
      </w:hyperlink>
      <w:r>
        <w:t xml:space="preserve">)</w:t>
      </w:r>
      <w:r>
        <w:t xml:space="preserve">.</w:t>
      </w:r>
      <w:r>
        <w:t xml:space="preserve"> </w:t>
      </w:r>
      <w:r>
        <w:t xml:space="preserve">When the intervention follows a reminder at longer delays, the account invokes reconsolidation: the reminder reactivates the sensory trace, and the interfering task disrupts its restabilization during a time-limited window</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The account thus ties selective interference to separate memory representations, modality-specific disruption of one trace, and a discrete reconsolidation window.</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within a retrieved-context framework drawing on the emotional Context Maintenance and Retrieval model family, including eCMR and CMR3</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w:t>
      </w:r>
      <w:r>
        <w:t xml:space="preserve"> </w:t>
      </w:r>
      <w:r>
        <w:t xml:space="preserve">Emotional extensions add a source-context stream for emotional and neutral states and an emotion-dependent binding strength, allowing the same architecture to capture how emotional content changes the organization and success of recall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Variants also model strategic control over memory search, allowing the model to capture how retrieval goals and task demands shape recall</w:t>
      </w:r>
      <w:r>
        <w:t xml:space="preserve"> </w:t>
      </w:r>
      <w:r>
        <w:t xml:space="preserve">(</w:t>
      </w:r>
      <w:hyperlink w:anchor="ref-cohen2022memory">
        <w:r>
          <w:rPr>
            <w:rStyle w:val="Hyperlink"/>
          </w:rPr>
          <w:t xml:space="preserve">Cohen &amp; Kahana, 2022</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Together, these commitments make the framework a principled setting for testing whether selective interference can arise within a single emotional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that overlap with film context, including states reinstated by reminders.</w:t>
      </w:r>
      <w:r>
        <w:t xml:space="preserve"> </w:t>
      </w:r>
      <w:r>
        <w:t xml:space="preserve">At retrieval, the current context state cues memory search, so competition depends on how strongly film and task episodes are associated with similar context states.</w:t>
      </w:r>
      <w:r>
        <w:t xml:space="preserve"> </w:t>
      </w:r>
      <w:r>
        <w:t xml:space="preserve">Deliberate recall can reduce this competition when retrieval begins from a more film-directed state and when selection favors film items over competitors.</w:t>
      </w:r>
      <w:r>
        <w:t xml:space="preserve"> </w:t>
      </w:r>
      <w:r>
        <w:t xml:space="preserve">The account therefore attributes the intrusion-voluntary-memory dissociation to different retrieval states applied to shared memory associations.</w:t>
      </w:r>
      <w:r>
        <w:t xml:space="preserve"> </w:t>
      </w:r>
      <w:r>
        <w:t xml:space="preserve">This reframes selective interference as a change in the competitive retrieval environment around the film, rather than as a change in the availability of the film representation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intrusion-like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competitor strength and contextual overlap, clarifying when an interference task becomes an effective competitor for film retrieval and how reminder-driven reinstatement can support delayed interference.</w:t>
      </w:r>
      <w:r>
        <w:t xml:space="preserve"> </w:t>
      </w:r>
      <w:r>
        <w:t xml:space="preserve">Follow-up simulations use the same framework to interpret heterogeneity across empirical paradigms.</w:t>
      </w:r>
      <w:r>
        <w:t xml:space="preserve"> </w:t>
      </w:r>
      <w:r>
        <w:t xml:space="preserve">They show that film-related cues during intrusion monitoring can narrow the intrusion-voluntary-memory dissociation by making intrusion-like retrieval less purely unguided.</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6"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bookmarkStart w:id="25" w:name="fig-retrieved-context-account"/>
    <w:p>
      <w:pPr>
        <w:pStyle w:val="FigureWithoutNote"/>
      </w:pPr>
      <w:r>
        <w:t xml:space="preserve">Figure 1</w:t>
      </w:r>
    </w:p>
    <w:p>
      <w:pPr>
        <w:pStyle w:val="FigureWithoutNote"/>
      </w:pPr>
      <w:r>
        <w:t xml:space="preserve">A retrieved-context account of selective interference.</w:t>
      </w:r>
      <w:r>
        <w:t xml:space="preserve"> </w:t>
      </w:r>
      <w:r>
        <w:t xml:space="preserve">The model explains intrusion-voluntary-memory dissociations by applying a single retrieved-context architecture to the phase structure of post-encoding and post-reminder interference paradigms.</w:t>
      </w:r>
      <w:r>
        <w:t xml:space="preserve"> </w:t>
      </w:r>
      <w:r>
        <w:t xml:space="preserve">(A) The simulated paradigm includes film encoding, optional reminder-driven context reinstatement, interference-task encoding, filler activity, and later retrieval.</w:t>
      </w:r>
      <w:r>
        <w:t xml:space="preserve"> </w:t>
      </w:r>
      <w:r>
        <w:t xml:space="preserve">(B) Encoding links film and task items to the context states active during their phases; task-associated context is most similar to film-associated context when task encoding occurs soon after the film, after reminder-driven reinstatement, or under matching source/emotional context.</w:t>
      </w:r>
      <w:r>
        <w:t xml:space="preserve"> </w:t>
      </w:r>
      <w:r>
        <w:t xml:space="preserve">(C) Feature-to-context memory (</w:t>
      </w:r>
      <m:oMath>
        <m:sSup>
          <m:e>
            <m:r>
              <m:t>M</m:t>
            </m:r>
          </m:e>
          <m:sup>
            <m:r>
              <m:t>F</m:t>
            </m:r>
            <m:r>
              <m:t>C</m:t>
            </m:r>
          </m:sup>
        </m:sSup>
      </m:oMath>
      <w:r>
        <w:t xml:space="preserve">) and context-to-feature memory (</w:t>
      </w:r>
      <m:oMath>
        <m:sSup>
          <m:e>
            <m:r>
              <m:t>M</m:t>
            </m:r>
          </m:e>
          <m:sup>
            <m:r>
              <m:t>C</m:t>
            </m:r>
            <m:r>
              <m:t>F</m:t>
            </m:r>
          </m:sup>
        </m:sSup>
      </m:oMath>
      <w:r>
        <w:t xml:space="preserve">) implement the retrieved-context cycle, allowing items and reminders to reinstate associated context and allowing current context to cue competing candidate items.</w:t>
      </w:r>
      <w:r>
        <w:t xml:space="preserve"> </w:t>
      </w:r>
      <w:r>
        <w:t xml:space="preserve">(D) Uncontrolled retrieval from ongoing context and deliberate recall operate over the same stored associations, but deliberate recall can be protected by film-directed cue construction and competition focusing.</w:t>
      </w:r>
    </w:p>
    <w:bookmarkEnd w:id="25"/>
    <w:p>
      <w:pPr>
        <w:pStyle w:val="AfterWithoutNote"/>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source/emotional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the task adds effective competitors to the film’s retrieval environment.</w:t>
      </w:r>
    </w:p>
    <w:p>
      <w:pPr>
        <w:pStyle w:val="BodyText"/>
      </w:pPr>
      <w:r>
        <w:t xml:space="preserve">Context-to-item retrieval uses the current context state to cue candidate items.</w:t>
      </w:r>
      <w:r>
        <w:t xml:space="preserve"> </w:t>
      </w:r>
      <w:r>
        <w:t xml:space="preserve">When a retrieval context resembles states associated with both film items and task items, the same cue supports both sets.</w:t>
      </w:r>
      <w:r>
        <w:t xml:space="preserve"> </w:t>
      </w:r>
      <w:r>
        <w:t xml:space="preserve">Uncontrolled retrieval from ongoing context is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source/emotional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uses this same pathway to reinstate film-associated context before task encoding</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r>
        <w:t xml:space="preserve"> </w:t>
      </w:r>
      <w:r>
        <w:t xml:space="preserve">Film-related cues during monitoring and tests that supply a film item use the same item-to-context pathway during later access.</w:t>
      </w:r>
      <w:r>
        <w:t xml:space="preserve"> </w:t>
      </w:r>
      <w:r>
        <w:t xml:space="preserve">They can pull retrieval context toward film-associated states or retrieve a supplied item’s associated context, reducing reliance on broad context-to-item sampling.</w:t>
      </w:r>
      <w:r>
        <w:t xml:space="preserve"> </w:t>
      </w:r>
      <w:r>
        <w:t xml:space="preserve">Interference items encoded later can add competitors to context-to-item retrieval, but they do not directly overwrite a film item’s own item-to-context association.</w:t>
      </w:r>
      <w:r>
        <w:t xml:space="preserve"> </w:t>
      </w:r>
      <w:r>
        <w:t xml:space="preserve">Recognition-like access is therefore less exposed to the contextual-competition mechanism that reduces uncontrolled retrieval from ongoing context, while deliberate free recall remains a controlled version of context-to-item search.</w:t>
      </w:r>
    </w:p>
    <w:p>
      <w:pPr>
        <w:pStyle w:val="BodyText"/>
      </w:pPr>
      <w:r>
        <w:t xml:space="preserve">Deliberate recall is protected only to the extent that retrieval control changes the search.</w:t>
      </w:r>
      <w:r>
        <w:t xml:space="preserve"> </w:t>
      </w:r>
      <w:r>
        <w:t xml:space="preserve">Like uncontrolled retrieval, deliberate recall uses context-to-item retrieval and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control can reduce that loss relative to uncontrolled retrieval from ongoing context.</w:t>
      </w:r>
    </w:p>
    <w:p>
      <w:pPr>
        <w:pStyle w:val="BodyText"/>
      </w:pPr>
      <w:r>
        <w:t xml:space="preserve">Emotional extensions of CMR add a source-context stream that can distinguish items encoded in emotional versus neutral states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source-only variant, this stream represents whether film and task items are associated with matching or different source/emotional context states.</w:t>
      </w:r>
      <w:r>
        <w:t xml:space="preserve"> </w:t>
      </w:r>
      <w:r>
        <w:t xml:space="preserve">The formal model specified next instantiates these commitments as phase-specific encoding, reminder-driven reinstatement, retrieval-mode and control settings, and source/emotional overlap.</w:t>
      </w:r>
    </w:p>
    <w:bookmarkEnd w:id="26"/>
    <w:bookmarkStart w:id="38" w:name="model-and-paradigm"/>
    <w:p>
      <w:pPr>
        <w:pStyle w:val="Heading1"/>
      </w:pPr>
      <w:r>
        <w:t xml:space="preserve">Model and Paradigm</w:t>
      </w:r>
    </w:p>
    <w:bookmarkStart w:id="28" w:name="representations-and-memory-architecture"/>
    <w:p>
      <w:pPr>
        <w:pStyle w:val="Heading2"/>
      </w:pPr>
      <w:r>
        <w:t xml:space="preserve">Representations and Memory Architecture</w:t>
      </w:r>
    </w:p>
    <w:p>
      <w:pPr>
        <w:pStyle w:val="FirstParagraph"/>
      </w:pPr>
      <w:r>
        <w:t xml:space="preserve">The model represents each study event as an orthonormal item vector</w:t>
      </w:r>
      <w:r>
        <w:t xml:space="preserve"> </w:t>
      </w:r>
      <m:oMath>
        <m:sSub>
          <m:e>
            <m:r>
              <m:t>f</m:t>
            </m:r>
          </m:e>
          <m:sub>
            <m:r>
              <m:t>i</m:t>
            </m:r>
          </m:sub>
        </m:sSub>
      </m:oMath>
      <w:r>
        <w:t xml:space="preserve">.</w:t>
      </w:r>
      <w:r>
        <w:t xml:space="preserve"> </w:t>
      </w:r>
      <w:r>
        <w:t xml:space="preserve">The selective-interference paradigm presents items across a fixed phase sequence: film, break, reminder, interference, filler, and retrieval.</w:t>
      </w:r>
      <w:r>
        <w:t xml:space="preserve"> </w:t>
      </w:r>
      <w:r>
        <w:t xml:space="preserve">Film items are the target items whose later access indexes intrusion-like or voluntary memory.</w:t>
      </w:r>
      <w:r>
        <w:t xml:space="preserve"> </w:t>
      </w:r>
      <w:r>
        <w:t xml:space="preserve">Interference items are later task events that can become competitors for film retrieval.</w:t>
      </w:r>
      <w:r>
        <w:t xml:space="preserve"> </w:t>
      </w:r>
      <w:r>
        <w:t xml:space="preserve">Each item also carries a source flag</w:t>
      </w:r>
      <w:r>
        <w:t xml:space="preserve"> </w:t>
      </w:r>
      <m:oMath>
        <m:sSub>
          <m:e>
            <m:r>
              <m:t>e</m:t>
            </m:r>
          </m:e>
          <m:sub>
            <m:r>
              <m:t>i</m:t>
            </m:r>
          </m:sub>
        </m:sSub>
        <m:r>
          <m:rPr>
            <m:sty m:val="p"/>
          </m:rPr>
          <m:t>∈</m:t>
        </m:r>
        <m:r>
          <m:rPr>
            <m:sty m:val="p"/>
          </m:rPr>
          <m:t>{</m:t>
        </m:r>
        <m:r>
          <m:t>0</m:t>
        </m:r>
        <m:r>
          <m:rPr>
            <m:sty m:val="p"/>
          </m:rPr>
          <m:t>,</m:t>
        </m:r>
        <m:r>
          <m:t>1</m:t>
        </m:r>
        <m:r>
          <m:rPr>
            <m:sty m:val="p"/>
          </m:rPr>
          <m:t>}</m:t>
        </m:r>
      </m:oMath>
      <w:r>
        <w:t xml:space="preserve"> </w:t>
      </w:r>
      <w:r>
        <w:t xml:space="preserve">indicating whether it belongs to the source/emotional class manipulated in a given simulation, and a target flag</w:t>
      </w:r>
      <w:r>
        <w:t xml:space="preserve"> </w:t>
      </w:r>
      <m:oMath>
        <m:sSub>
          <m:e>
            <m:r>
              <m:t>t</m:t>
            </m:r>
          </m:e>
          <m:sub>
            <m:r>
              <m:t>i</m:t>
            </m:r>
          </m:sub>
        </m:sSub>
        <m:r>
          <m:rPr>
            <m:sty m:val="p"/>
          </m:rPr>
          <m:t>∈</m:t>
        </m:r>
        <m:r>
          <m:rPr>
            <m:sty m:val="p"/>
          </m:rPr>
          <m:t>{</m:t>
        </m:r>
        <m:r>
          <m:t>0</m:t>
        </m:r>
        <m:r>
          <m:rPr>
            <m:sty m:val="p"/>
          </m:rPr>
          <m:t>,</m:t>
        </m:r>
        <m:r>
          <m:t>1</m:t>
        </m:r>
        <m:r>
          <m:rPr>
            <m:sty m:val="p"/>
          </m:rPr>
          <m:t>}</m:t>
        </m:r>
      </m:oMath>
      <w:r>
        <w:t xml:space="preserve"> </w:t>
      </w:r>
      <w:r>
        <w:t xml:space="preserve">indicating whether it is a film item.</w:t>
      </w:r>
    </w:p>
    <w:p>
      <w:pPr>
        <w:pStyle w:val="BodyText"/>
      </w:pPr>
      <w:r>
        <w:t xml:space="preserve">Two context streams evolve over the experiment.</w:t>
      </w:r>
      <w:r>
        <w:t xml:space="preserve"> </w:t>
      </w:r>
      <w:r>
        <w:t xml:space="preserve">Temporal context</w:t>
      </w:r>
      <w:r>
        <w:t xml:space="preserve"> </w:t>
      </w:r>
      <m:oMath>
        <m:sSup>
          <m:e>
            <m:r>
              <m:t>c</m:t>
            </m:r>
          </m:e>
          <m:sup>
            <m:r>
              <m:t>T</m:t>
            </m:r>
          </m:sup>
        </m:sSup>
      </m:oMath>
      <w:r>
        <w:t xml:space="preserve"> </w:t>
      </w:r>
      <w:r>
        <w:t xml:space="preserve">is a unit-length vector with a start-of-list unit and one unit for each item.</w:t>
      </w:r>
      <w:r>
        <w:t xml:space="preserve"> </w:t>
      </w:r>
      <w:r>
        <w:t xml:space="preserve">Source context</w:t>
      </w:r>
      <w:r>
        <w:t xml:space="preserve"> </w:t>
      </w:r>
      <m:oMath>
        <m:sSup>
          <m:e>
            <m:r>
              <m:t>c</m:t>
            </m:r>
          </m:e>
          <m:sup>
            <m:r>
              <m:t>S</m:t>
            </m:r>
          </m:sup>
        </m:sSup>
      </m:oMath>
      <w:r>
        <w:t xml:space="preserve"> </w:t>
      </w:r>
      <w:r>
        <w:t xml:space="preserve">is a unit-length vector with start, emotional/source, and neutral/source dimensions.</w:t>
      </w:r>
      <w:r>
        <w:t xml:space="preserve"> </w:t>
      </w:r>
      <w:r>
        <w:t xml:space="preserve">Both context streams begin in their start states.</w:t>
      </w:r>
      <w:r>
        <w:t xml:space="preserve"> </w:t>
      </w:r>
      <w:r>
        <w:t xml:space="preserve">As items are encoded or retrieved, context drifts toward the context associated with the current item.</w:t>
      </w:r>
    </w:p>
    <w:p>
      <w:pPr>
        <w:pStyle w:val="BodyText"/>
      </w:pPr>
      <w:r>
        <w:t xml:space="preserve">Four associative matrices link items to contexts.</w:t>
      </w:r>
      <w:r>
        <w:t xml:space="preserve"> </w:t>
      </w:r>
      <m:oMath>
        <m:sSup>
          <m:e>
            <m:r>
              <m:t>M</m:t>
            </m:r>
          </m:e>
          <m:sup>
            <m:r>
              <m:t>F</m:t>
            </m:r>
            <m:r>
              <m:t>C</m:t>
            </m:r>
            <m:r>
              <m:rPr>
                <m:sty m:val="p"/>
              </m:rPr>
              <m:t>,</m:t>
            </m:r>
            <m:r>
              <m:t>T</m:t>
            </m:r>
          </m:sup>
        </m:sSup>
      </m:oMath>
      <w:r>
        <w:t xml:space="preserve"> </w:t>
      </w:r>
      <w:r>
        <w:t xml:space="preserve">maps item features to temporal context and supports item-to-context reinstatement.</w:t>
      </w:r>
      <w:r>
        <w:t xml:space="preserve"> </w:t>
      </w:r>
      <m:oMath>
        <m:sSup>
          <m:e>
            <m:r>
              <m:t>M</m:t>
            </m:r>
          </m:e>
          <m:sup>
            <m:r>
              <m:t>C</m:t>
            </m:r>
            <m:r>
              <m:t>F</m:t>
            </m:r>
            <m:r>
              <m:rPr>
                <m:sty m:val="p"/>
              </m:rPr>
              <m:t>,</m:t>
            </m:r>
            <m:r>
              <m:t>T</m:t>
            </m:r>
          </m:sup>
        </m:sSup>
      </m:oMath>
      <w:r>
        <w:t xml:space="preserve"> </w:t>
      </w:r>
      <w:r>
        <w:t xml:space="preserve">maps temporal context to item features and supports context-to-item competition.</w:t>
      </w:r>
      <w:r>
        <w:t xml:space="preserve"> </w:t>
      </w:r>
      <m:oMath>
        <m:sSup>
          <m:e>
            <m:r>
              <m:t>M</m:t>
            </m:r>
          </m:e>
          <m:sup>
            <m:r>
              <m:t>F</m:t>
            </m:r>
            <m:r>
              <m:t>C</m:t>
            </m:r>
            <m:r>
              <m:rPr>
                <m:sty m:val="p"/>
              </m:rPr>
              <m:t>,</m:t>
            </m:r>
            <m:r>
              <m:t>S</m:t>
            </m:r>
          </m:sup>
        </m:sSup>
      </m:oMath>
      <w:r>
        <w:t xml:space="preserve"> </w:t>
      </w:r>
      <w:r>
        <w:t xml:space="preserve">and</w:t>
      </w:r>
      <w:r>
        <w:t xml:space="preserve"> </w:t>
      </w:r>
      <m:oMath>
        <m:sSup>
          <m:e>
            <m:r>
              <m:t>M</m:t>
            </m:r>
          </m:e>
          <m:sup>
            <m:r>
              <m:t>C</m:t>
            </m:r>
            <m:r>
              <m:t>F</m:t>
            </m:r>
            <m:r>
              <m:rPr>
                <m:sty m:val="p"/>
              </m:rPr>
              <m:t>,</m:t>
            </m:r>
            <m:r>
              <m:t>S</m:t>
            </m:r>
          </m:sup>
        </m:sSup>
      </m:oMath>
      <w:r>
        <w:t xml:space="preserve"> </w:t>
      </w:r>
      <w:r>
        <w:t xml:space="preserve">provide the corresponding item-to-source-context and source-context-to-item mappings.</w:t>
      </w:r>
      <w:r>
        <w:t xml:space="preserve"> </w:t>
      </w:r>
      <w:r>
        <w:t xml:space="preserve">The source pathway is the source-only eCMR extension used here: it can add source-based support for retrieval without making emotional/source status a hidden modulation of temporal learning.</w:t>
      </w:r>
    </w:p>
    <w:p>
      <w:pPr>
        <w:pStyle w:val="BodyText"/>
      </w:pPr>
      <w:hyperlink w:anchor="tbl-parameters">
        <w:r>
          <w:rPr>
            <w:rStyle w:val="Hyperlink"/>
          </w:rPr>
          <w:t xml:space="preserve">Table 1</w:t>
        </w:r>
      </w:hyperlink>
      <w:r>
        <w:t xml:space="preserve"> </w:t>
      </w:r>
      <w:r>
        <w:t xml:space="preserve">lists the model structures and parameters used throughout the simulations.</w:t>
      </w:r>
    </w:p>
    <w:bookmarkStart w:id="27" w:name="tbl-parameters"/>
    <w:p>
      <w:pPr>
        <w:pStyle w:val="FigureTitle"/>
      </w:pPr>
      <w:r>
        <w:t xml:space="preserve">Table 1</w:t>
      </w:r>
    </w:p>
    <w:p>
      <w:pPr>
        <w:pStyle w:val="Caption"/>
      </w:pPr>
      <w:r>
        <w:t xml:space="preserve">Model structures and parameters.</w:t>
      </w:r>
      <w:r>
        <w:t xml:space="preserve"> </w:t>
      </w:r>
      <w:r>
        <w:t xml:space="preserve">Base parameters are anchored by pooled source-only eCMR fits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Description</w:t>
            </w:r>
          </w:p>
        </w:tc>
      </w:tr>
      <w:tr>
        <w:tc>
          <w:tcPr/>
          <w:p>
            <w:pPr>
              <w:pStyle w:val="Compact"/>
            </w:pPr>
            <m:oMath>
              <m:sSup>
                <m:e>
                  <m:r>
                    <m:t>c</m:t>
                  </m:r>
                </m:e>
                <m:sup>
                  <m:r>
                    <m:t>T</m:t>
                  </m:r>
                </m:sup>
              </m:sSup>
            </m:oMath>
          </w:p>
        </w:tc>
        <w:tc>
          <w:tcPr/>
          <w:p>
            <w:pPr>
              <w:pStyle w:val="Compact"/>
            </w:pPr>
            <w:r>
              <w:t xml:space="preserve">temporal context</w:t>
            </w:r>
          </w:p>
        </w:tc>
        <w:tc>
          <w:tcPr/>
          <w:p>
            <w:pPr>
              <w:pStyle w:val="Compact"/>
            </w:pPr>
            <w:r>
              <w:t xml:space="preserve">Recency-weighted context stream with start and item units</w:t>
            </w:r>
          </w:p>
        </w:tc>
      </w:tr>
      <w:tr>
        <w:tc>
          <w:tcPr/>
          <w:p>
            <w:pPr>
              <w:pStyle w:val="Compact"/>
            </w:pPr>
            <m:oMath>
              <m:sSup>
                <m:e>
                  <m:r>
                    <m:t>c</m:t>
                  </m:r>
                </m:e>
                <m:sup>
                  <m:r>
                    <m:t>S</m:t>
                  </m:r>
                </m:sup>
              </m:sSup>
            </m:oMath>
          </w:p>
        </w:tc>
        <w:tc>
          <w:tcPr/>
          <w:p>
            <w:pPr>
              <w:pStyle w:val="Compact"/>
            </w:pPr>
            <w:r>
              <w:t xml:space="preserve">source context</w:t>
            </w:r>
          </w:p>
        </w:tc>
        <w:tc>
          <w:tcPr/>
          <w:p>
            <w:pPr>
              <w:pStyle w:val="Compact"/>
            </w:pPr>
            <w:r>
              <w:t xml:space="preserve">Source/emotional context stream with start, emotional/source, and neutral/source units</w:t>
            </w:r>
          </w:p>
        </w:tc>
      </w:tr>
      <w:tr>
        <w:tc>
          <w:tcPr/>
          <w:p>
            <w:pPr>
              <w:pStyle w:val="Compact"/>
            </w:pPr>
            <m:oMath>
              <m:sSub>
                <m:e>
                  <m:r>
                    <m:t>f</m:t>
                  </m:r>
                </m:e>
                <m:sub>
                  <m:r>
                    <m:t>i</m:t>
                  </m:r>
                </m:sub>
              </m:sSub>
            </m:oMath>
          </w:p>
        </w:tc>
        <w:tc>
          <w:tcPr/>
          <w:p>
            <w:pPr>
              <w:pStyle w:val="Compact"/>
            </w:pPr>
            <w:r>
              <w:t xml:space="preserve">item features</w:t>
            </w:r>
          </w:p>
        </w:tc>
        <w:tc>
          <w:tcPr/>
          <w:p>
            <w:pPr>
              <w:pStyle w:val="Compact"/>
            </w:pPr>
            <w:r>
              <w:t xml:space="preserve">Orthonormal representation of item</w:t>
            </w:r>
            <w:r>
              <w:t xml:space="preserve"> </w:t>
            </w:r>
            <m:oMath>
              <m:r>
                <m:t>i</m:t>
              </m:r>
            </m:oMath>
          </w:p>
        </w:tc>
      </w:tr>
      <w:tr>
        <w:tc>
          <w:tcPr/>
          <w:p>
            <w:pPr>
              <w:pStyle w:val="Compact"/>
            </w:pPr>
            <m:oMath>
              <m:sSub>
                <m:e>
                  <m:r>
                    <m:t>e</m:t>
                  </m:r>
                </m:e>
                <m:sub>
                  <m:r>
                    <m:t>i</m:t>
                  </m:r>
                </m:sub>
              </m:sSub>
            </m:oMath>
          </w:p>
        </w:tc>
        <w:tc>
          <w:tcPr/>
          <w:p>
            <w:pPr>
              <w:pStyle w:val="Compact"/>
            </w:pPr>
            <w:r>
              <w:t xml:space="preserve">source flag</w:t>
            </w:r>
          </w:p>
        </w:tc>
        <w:tc>
          <w:tcPr/>
          <w:p>
            <w:pPr>
              <w:pStyle w:val="Compact"/>
            </w:pPr>
            <w:r>
              <w:t xml:space="preserve">1 for source/emotional items, 0 for neutral/source items</w:t>
            </w:r>
          </w:p>
        </w:tc>
      </w:tr>
      <w:tr>
        <w:tc>
          <w:tcPr/>
          <w:p>
            <w:pPr>
              <w:pStyle w:val="Compact"/>
            </w:pPr>
            <m:oMath>
              <m:sSub>
                <m:e>
                  <m:r>
                    <m:t>t</m:t>
                  </m:r>
                </m:e>
                <m:sub>
                  <m:r>
                    <m:t>i</m:t>
                  </m:r>
                </m:sub>
              </m:sSub>
            </m:oMath>
          </w:p>
        </w:tc>
        <w:tc>
          <w:tcPr/>
          <w:p>
            <w:pPr>
              <w:pStyle w:val="Compact"/>
            </w:pPr>
            <w:r>
              <w:t xml:space="preserve">target flag</w:t>
            </w:r>
          </w:p>
        </w:tc>
        <w:tc>
          <w:tcPr/>
          <w:p>
            <w:pPr>
              <w:pStyle w:val="Compact"/>
            </w:pPr>
            <w:r>
              <w:t xml:space="preserve">1 for film items, 0 for non-film items</w:t>
            </w:r>
          </w:p>
        </w:tc>
      </w:tr>
      <w:tr>
        <w:tc>
          <w:tcPr/>
          <w:p>
            <w:pPr>
              <w:pStyle w:val="Compact"/>
            </w:pPr>
            <m:oMath>
              <m:sSup>
                <m:e>
                  <m:r>
                    <m:t>M</m:t>
                  </m:r>
                </m:e>
                <m:sup>
                  <m:r>
                    <m:t>F</m:t>
                  </m:r>
                  <m:r>
                    <m:t>C</m:t>
                  </m:r>
                  <m:r>
                    <m:rPr>
                      <m:sty m:val="p"/>
                    </m:rPr>
                    <m:t>,</m:t>
                  </m:r>
                  <m:r>
                    <m:t>T</m:t>
                  </m:r>
                </m:sup>
              </m:sSup>
            </m:oMath>
            <w:r>
              <w:t xml:space="preserve">,</w:t>
            </w:r>
            <w:r>
              <w:t xml:space="preserve"> </w:t>
            </w:r>
            <m:oMath>
              <m:sSup>
                <m:e>
                  <m:r>
                    <m:t>M</m:t>
                  </m:r>
                </m:e>
                <m:sup>
                  <m:r>
                    <m:t>C</m:t>
                  </m:r>
                  <m:r>
                    <m:t>F</m:t>
                  </m:r>
                  <m:r>
                    <m:rPr>
                      <m:sty m:val="p"/>
                    </m:rPr>
                    <m:t>,</m:t>
                  </m:r>
                  <m:r>
                    <m:t>T</m:t>
                  </m:r>
                </m:sup>
              </m:sSup>
            </m:oMath>
          </w:p>
        </w:tc>
        <w:tc>
          <w:tcPr/>
          <w:p>
            <w:pPr>
              <w:pStyle w:val="Compact"/>
            </w:pPr>
            <w:r>
              <w:t xml:space="preserve">temporal memories</w:t>
            </w:r>
          </w:p>
        </w:tc>
        <w:tc>
          <w:tcPr/>
          <w:p>
            <w:pPr>
              <w:pStyle w:val="Compact"/>
            </w:pPr>
            <w:r>
              <w:t xml:space="preserve">Item</w:t>
            </w:r>
            <w:r>
              <w:t xml:space="preserve"> </w:t>
            </w:r>
            <m:oMath>
              <m:r>
                <m:rPr>
                  <m:sty m:val="p"/>
                </m:rPr>
                <m:t>↔</m:t>
              </m:r>
            </m:oMath>
            <w:r>
              <w:t xml:space="preserve"> </w:t>
            </w:r>
            <w:r>
              <w:t xml:space="preserve">temporal-context associations</w:t>
            </w:r>
          </w:p>
        </w:tc>
      </w:tr>
      <w:tr>
        <w:tc>
          <w:tcPr/>
          <w:p>
            <w:pPr>
              <w:pStyle w:val="Compact"/>
            </w:pPr>
            <m:oMath>
              <m:sSup>
                <m:e>
                  <m:r>
                    <m:t>M</m:t>
                  </m:r>
                </m:e>
                <m:sup>
                  <m:r>
                    <m:t>F</m:t>
                  </m:r>
                  <m:r>
                    <m:t>C</m:t>
                  </m:r>
                  <m:r>
                    <m:rPr>
                      <m:sty m:val="p"/>
                    </m:rPr>
                    <m:t>,</m:t>
                  </m:r>
                  <m:r>
                    <m:t>S</m:t>
                  </m:r>
                </m:sup>
              </m:sSup>
            </m:oMath>
            <w:r>
              <w:t xml:space="preserve">,</w:t>
            </w:r>
            <w:r>
              <w:t xml:space="preserve"> </w:t>
            </w:r>
            <m:oMath>
              <m:sSup>
                <m:e>
                  <m:r>
                    <m:t>M</m:t>
                  </m:r>
                </m:e>
                <m:sup>
                  <m:r>
                    <m:t>C</m:t>
                  </m:r>
                  <m:r>
                    <m:t>F</m:t>
                  </m:r>
                  <m:r>
                    <m:rPr>
                      <m:sty m:val="p"/>
                    </m:rPr>
                    <m:t>,</m:t>
                  </m:r>
                  <m:r>
                    <m:t>S</m:t>
                  </m:r>
                </m:sup>
              </m:sSup>
            </m:oMath>
          </w:p>
        </w:tc>
        <w:tc>
          <w:tcPr/>
          <w:p>
            <w:pPr>
              <w:pStyle w:val="Compact"/>
            </w:pPr>
            <w:r>
              <w:t xml:space="preserve">source memories</w:t>
            </w:r>
          </w:p>
        </w:tc>
        <w:tc>
          <w:tcPr/>
          <w:p>
            <w:pPr>
              <w:pStyle w:val="Compact"/>
            </w:pPr>
            <w:r>
              <w:t xml:space="preserve">Item</w:t>
            </w:r>
            <w:r>
              <w:t xml:space="preserve"> </w:t>
            </w:r>
            <m:oMath>
              <m:r>
                <m:rPr>
                  <m:sty m:val="p"/>
                </m:rPr>
                <m:t>↔</m:t>
              </m:r>
            </m:oMath>
            <w:r>
              <w:t xml:space="preserve"> </w:t>
            </w:r>
            <w:r>
              <w:t xml:space="preserve">source-context associations</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Temporal 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reinstatement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during recall</w:t>
            </w:r>
          </w:p>
        </w:tc>
      </w:tr>
      <w:tr>
        <w:tc>
          <w:tcPr/>
          <w:p>
            <w:pPr>
              <w:pStyle w:val="Compact"/>
            </w:pPr>
            <m:oMath>
              <m:sSubSup>
                <m:e>
                  <m:r>
                    <m:t>β</m:t>
                  </m:r>
                </m:e>
                <m:sub>
                  <m:r>
                    <m:t>e</m:t>
                  </m:r>
                  <m:r>
                    <m:t>n</m:t>
                  </m:r>
                  <m:r>
                    <m:t>c</m:t>
                  </m:r>
                </m:sub>
                <m:sup>
                  <m:r>
                    <m:t>S</m:t>
                  </m:r>
                </m:sup>
              </m:sSubSup>
            </m:oMath>
          </w:p>
        </w:tc>
        <w:tc>
          <w:tcPr/>
          <w:p>
            <w:pPr>
              <w:pStyle w:val="Compact"/>
            </w:pPr>
            <w:r>
              <w:t xml:space="preserve">source encoding drift rate</w:t>
            </w:r>
          </w:p>
        </w:tc>
        <w:tc>
          <w:tcPr/>
          <w:p>
            <w:pPr>
              <w:pStyle w:val="Compact"/>
            </w:pPr>
            <w:r>
              <w:t xml:space="preserve">Source-context drift during encoding</w:t>
            </w:r>
          </w:p>
        </w:tc>
      </w:tr>
      <w:tr>
        <w:tc>
          <w:tcPr/>
          <w:p>
            <w:pPr>
              <w:pStyle w:val="Compact"/>
            </w:pPr>
            <m:oMath>
              <m:sSubSup>
                <m:e>
                  <m:r>
                    <m:t>β</m:t>
                  </m:r>
                </m:e>
                <m:sub>
                  <m:r>
                    <m:t>r</m:t>
                  </m:r>
                  <m:r>
                    <m:t>e</m:t>
                  </m:r>
                  <m:r>
                    <m:t>c</m:t>
                  </m:r>
                </m:sub>
                <m:sup>
                  <m:r>
                    <m:t>S</m:t>
                  </m:r>
                </m:sup>
              </m:sSubSup>
            </m:oMath>
          </w:p>
        </w:tc>
        <w:tc>
          <w:tcPr/>
          <w:p>
            <w:pPr>
              <w:pStyle w:val="Compact"/>
            </w:pPr>
            <w:r>
              <w:t xml:space="preserve">source recall drift rate</w:t>
            </w:r>
          </w:p>
        </w:tc>
        <w:tc>
          <w:tcPr/>
          <w:p>
            <w:pPr>
              <w:pStyle w:val="Compact"/>
            </w:pPr>
            <w:r>
              <w:t xml:space="preserve">Source-context drift during recall</w:t>
            </w:r>
          </w:p>
        </w:tc>
      </w:tr>
      <w:tr>
        <w:tc>
          <w:tcPr/>
          <w:p>
            <w:pPr>
              <w:pStyle w:val="Compact"/>
            </w:pPr>
            <m:oMath>
              <m:r>
                <m:t>γ</m:t>
              </m:r>
            </m:oMath>
          </w:p>
        </w:tc>
        <w:tc>
          <w:tcPr/>
          <w:p>
            <w:pPr>
              <w:pStyle w:val="Compact"/>
            </w:pPr>
            <w:r>
              <w:t xml:space="preserve">learning rate</w:t>
            </w:r>
          </w:p>
        </w:tc>
        <w:tc>
          <w:tcPr/>
          <w:p>
            <w:pPr>
              <w:pStyle w:val="Compact"/>
            </w:pPr>
            <w:r>
              <w:t xml:space="preserve">Feature-to-context learning rate</w:t>
            </w:r>
          </w:p>
        </w:tc>
      </w:tr>
      <w:tr>
        <w:tc>
          <w:tcPr/>
          <w:p>
            <w:pPr>
              <w:pStyle w:val="Compact"/>
            </w:pPr>
            <m:oMath>
              <m:r>
                <m:t>α</m:t>
              </m:r>
            </m:oMath>
          </w:p>
        </w:tc>
        <w:tc>
          <w:tcPr/>
          <w:p>
            <w:pPr>
              <w:pStyle w:val="Compact"/>
            </w:pPr>
            <w:r>
              <w:t xml:space="preserve">shared support</w:t>
            </w:r>
          </w:p>
        </w:tc>
        <w:tc>
          <w:tcPr/>
          <w:p>
            <w:pPr>
              <w:pStyle w:val="Compact"/>
            </w:pPr>
            <w:r>
              <w:t xml:space="preserve">Explicit pre-experimental shared support in temporal</w:t>
            </w:r>
            <w:r>
              <w:t xml:space="preserve"> </w:t>
            </w:r>
            <m:oMath>
              <m:sSup>
                <m:e>
                  <m:r>
                    <m:t>M</m:t>
                  </m:r>
                </m:e>
                <m:sup>
                  <m:r>
                    <m:t>C</m:t>
                  </m:r>
                  <m:r>
                    <m:t>F</m:t>
                  </m:r>
                </m:sup>
              </m:sSup>
            </m:oMath>
          </w:p>
        </w:tc>
      </w:tr>
      <w:tr>
        <w:tc>
          <w:tcPr/>
          <w:p>
            <w:pPr>
              <w:pStyle w:val="Compact"/>
            </w:pPr>
            <m:oMath>
              <m:r>
                <m:t>δ</m:t>
              </m:r>
            </m:oMath>
          </w:p>
        </w:tc>
        <w:tc>
          <w:tcPr/>
          <w:p>
            <w:pPr>
              <w:pStyle w:val="Compact"/>
            </w:pPr>
            <w:r>
              <w:t xml:space="preserve">item support</w:t>
            </w:r>
          </w:p>
        </w:tc>
        <w:tc>
          <w:tcPr/>
          <w:p>
            <w:pPr>
              <w:pStyle w:val="Compact"/>
            </w:pPr>
            <w:r>
              <w:t xml:space="preserve">Explicit pre-experimental self-support in temporal</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context-to-item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the primacy boost</w:t>
            </w:r>
          </w:p>
        </w:tc>
      </w:tr>
      <w:tr>
        <w:tc>
          <w:tcPr/>
          <w:p>
            <w:pPr>
              <w:pStyle w:val="Compact"/>
            </w:pPr>
            <m:oMath>
              <m:r>
                <m:t>τ</m:t>
              </m:r>
            </m:oMath>
          </w:p>
        </w:tc>
        <w:tc>
          <w:tcPr/>
          <w:p>
            <w:pPr>
              <w:pStyle w:val="Compact"/>
            </w:pPr>
            <w:r>
              <w:t xml:space="preserve">choice sensitivity</w:t>
            </w:r>
          </w:p>
        </w:tc>
        <w:tc>
          <w:tcPr/>
          <w:p>
            <w:pPr>
              <w:pStyle w:val="Compact"/>
            </w:pPr>
            <w:r>
              <w:t xml:space="preserve">Exponent for Luce-style retrieval competition</w:t>
            </w:r>
          </w:p>
        </w:tc>
      </w:tr>
      <w:tr>
        <w:tc>
          <w:tcPr/>
          <w:p>
            <w:pPr>
              <w:pStyle w:val="Compact"/>
            </w:pPr>
            <m:oMath>
              <m:sSub>
                <m:e>
                  <m:r>
                    <m:t>ω</m:t>
                  </m:r>
                </m:e>
                <m:sub>
                  <m:r>
                    <m:t>S</m:t>
                  </m:r>
                </m:sub>
              </m:sSub>
            </m:oMath>
          </w:p>
        </w:tc>
        <w:tc>
          <w:tcPr/>
          <w:p>
            <w:pPr>
              <w:pStyle w:val="Compact"/>
            </w:pPr>
            <w:r>
              <w:t xml:space="preserve">source learning scale</w:t>
            </w:r>
          </w:p>
        </w:tc>
        <w:tc>
          <w:tcPr/>
          <w:p>
            <w:pPr>
              <w:pStyle w:val="Compact"/>
            </w:pPr>
            <w:r>
              <w:t xml:space="preserve">Strength of source-context-to-item learning for source/emotional items</w:t>
            </w:r>
          </w:p>
        </w:tc>
      </w:tr>
      <w:tr>
        <w:tc>
          <w:tcPr/>
          <w:p>
            <w:pPr>
              <w:pStyle w:val="Compact"/>
            </w:pPr>
            <m:oMath>
              <m:r>
                <m:t>κ</m:t>
              </m:r>
            </m:oMath>
          </w:p>
        </w:tc>
        <w:tc>
          <w:tcPr/>
          <w:p>
            <w:pPr>
              <w:pStyle w:val="Compact"/>
            </w:pPr>
            <w:r>
              <w:t xml:space="preserve">rejected-recall drift scale</w:t>
            </w:r>
          </w:p>
        </w:tc>
        <w:tc>
          <w:tcPr/>
          <w:p>
            <w:pPr>
              <w:pStyle w:val="Compact"/>
            </w:pPr>
            <w:r>
              <w:t xml:space="preserve">Context drift after recalling non-target competitors</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termination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Termination growth with recall position</w:t>
            </w:r>
          </w:p>
        </w:tc>
      </w:tr>
    </w:tbl>
    <w:bookmarkEnd w:id="27"/>
    <w:bookmarkEnd w:id="28"/>
    <w:bookmarkStart w:id="29" w:name="pre-experimental-associations"/>
    <w:p>
      <w:pPr>
        <w:pStyle w:val="Heading2"/>
      </w:pPr>
      <w:r>
        <w:t xml:space="preserve">Pre-Experimental Associations</w:t>
      </w:r>
    </w:p>
    <w:p>
      <w:pPr>
        <w:pStyle w:val="FirstParagraph"/>
      </w:pPr>
      <w:r>
        <w:t xml:space="preserve">Pre-experimental initialization establishes baseline associations before the experiment.</w:t>
      </w:r>
      <w:r>
        <w:t xml:space="preserve"> </w:t>
      </w:r>
      <w:r>
        <w:t xml:space="preserve">For the temporal pathway:</w:t>
      </w:r>
    </w:p>
    <w:p>
      <w:pPr>
        <w:pStyle w:val="BodyText"/>
      </w:pPr>
      <m:oMathPara>
        <m:oMathParaPr>
          <m:jc m:val="center"/>
        </m:oMathParaPr>
        <m:oMath>
          <m:sSubSup>
            <m:e>
              <m:r>
                <m:t>M</m:t>
              </m:r>
            </m:e>
            <m:sub>
              <m:r>
                <m:t>p</m:t>
              </m:r>
              <m:r>
                <m:t>r</m:t>
              </m:r>
              <m:r>
                <m:t>e</m:t>
              </m:r>
            </m:sub>
            <m:sup>
              <m:r>
                <m:t>F</m:t>
              </m:r>
              <m:r>
                <m:t>C</m:t>
              </m:r>
              <m:r>
                <m:rPr>
                  <m:sty m:val="p"/>
                </m:rPr>
                <m:t>,</m:t>
              </m:r>
              <m:r>
                <m:t>T</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oMath>
      </m:oMathPara>
    </w:p>
    <w:p>
      <w:pPr>
        <w:pStyle w:val="FirstParagraph"/>
      </w:pPr>
      <m:oMathPara>
        <m:oMathParaPr>
          <m:jc m:val="center"/>
        </m:oMathParaPr>
        <m:oMath>
          <m:sSubSup>
            <m:e>
              <m:r>
                <m:t>M</m:t>
              </m:r>
            </m:e>
            <m:sub>
              <m:r>
                <m:t>p</m:t>
              </m:r>
              <m:r>
                <m:t>r</m:t>
              </m:r>
              <m:r>
                <m:t>e</m:t>
              </m:r>
            </m:sub>
            <m:sup>
              <m:r>
                <m:t>C</m:t>
              </m:r>
              <m:r>
                <m:t>F</m:t>
              </m:r>
              <m:r>
                <m:rPr>
                  <m:sty m:val="p"/>
                </m:rPr>
                <m:t>,</m:t>
              </m:r>
              <m:r>
                <m:t>T</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oMath>
      </m:oMathPara>
    </w:p>
    <w:p>
      <w:pPr>
        <w:pStyle w:val="FirstParagraph"/>
      </w:pPr>
      <w:r>
        <w:t xml:space="preserve">The start context has no pre-experimental context-to-item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support is explicit so that simulations can test whether selective-interference effects depend on learned contextual competition rather than hidden background support.</w:t>
      </w:r>
    </w:p>
    <w:p>
      <w:pPr>
        <w:pStyle w:val="BodyText"/>
      </w:pPr>
      <w:r>
        <w:t xml:space="preserve">For the source pathway, define each item’s source vector as:</w:t>
      </w:r>
    </w:p>
    <w:p>
      <w:pPr>
        <w:pStyle w:val="BodyText"/>
      </w:pPr>
      <m:oMathPara>
        <m:oMathParaPr>
          <m:jc m:val="center"/>
        </m:oMathParaPr>
        <m:oMath>
          <m:sSub>
            <m:e>
              <m:r>
                <m:t>u</m:t>
              </m:r>
            </m:e>
            <m:sub>
              <m:r>
                <m:t>i</m:t>
              </m:r>
            </m:sub>
          </m:sSub>
          <m:r>
            <m:rPr>
              <m:sty m:val="p"/>
            </m:rPr>
            <m:t>=</m:t>
          </m:r>
          <m:d>
            <m:dPr>
              <m:begChr m:val="["/>
              <m:sepChr m:val=""/>
              <m:endChr m:val="]"/>
              <m:grow/>
            </m:dPr>
            <m:e>
              <m:m>
                <m:mPr>
                  <m:baseJc m:val="center"/>
                  <m:plcHide m:val="on"/>
                  <m:mcs>
                    <m:mc>
                      <m:mcPr>
                        <m:mcJc m:val="center"/>
                        <m:count m:val="1"/>
                      </m:mcPr>
                    </m:mc>
                  </m:mcs>
                </m:mPr>
                <m:mr>
                  <m:e>
                    <m:r>
                      <m:t>0</m:t>
                    </m:r>
                  </m:e>
                </m:mr>
                <m:mr>
                  <m:e>
                    <m:sSub>
                      <m:e>
                        <m:r>
                          <m:t>e</m:t>
                        </m:r>
                      </m:e>
                      <m:sub>
                        <m:r>
                          <m:t>i</m:t>
                        </m:r>
                      </m:sub>
                    </m:sSub>
                  </m:e>
                </m:mr>
                <m:mr>
                  <m:e>
                    <m:r>
                      <m:t>1</m:t>
                    </m:r>
                    <m:r>
                      <m:rPr>
                        <m:sty m:val="p"/>
                      </m:rPr>
                      <m:t>−</m:t>
                    </m:r>
                    <m:sSub>
                      <m:e>
                        <m:r>
                          <m:t>e</m:t>
                        </m:r>
                      </m:e>
                      <m:sub>
                        <m:r>
                          <m:t>i</m:t>
                        </m:r>
                      </m:sub>
                    </m:sSub>
                  </m:e>
                </m:mr>
              </m:m>
            </m:e>
          </m:d>
        </m:oMath>
      </m:oMathPara>
    </w:p>
    <w:p>
      <w:pPr>
        <w:pStyle w:val="FirstParagraph"/>
      </w:pPr>
      <m:oMathPara>
        <m:oMathParaPr>
          <m:jc m:val="center"/>
        </m:oMathParaPr>
        <m:oMath>
          <m:sSubSup>
            <m:e>
              <m:r>
                <m:t>M</m:t>
              </m:r>
            </m:e>
            <m:sub>
              <m:r>
                <m:t>p</m:t>
              </m:r>
              <m:r>
                <m:t>r</m:t>
              </m:r>
              <m:r>
                <m:t>e</m:t>
              </m:r>
            </m:sub>
            <m:sup>
              <m:r>
                <m:t>F</m:t>
              </m:r>
              <m:r>
                <m:t>C</m:t>
              </m:r>
              <m:r>
                <m:rPr>
                  <m:sty m:val="p"/>
                </m:rPr>
                <m:t>,</m:t>
              </m:r>
              <m:r>
                <m:t>S</m:t>
              </m:r>
            </m:sup>
          </m:sSubSup>
          <m:d>
            <m:dPr>
              <m:begChr m:val="("/>
              <m:sepChr m:val=""/>
              <m:endChr m:val=")"/>
              <m:grow/>
            </m:dPr>
            <m:e>
              <m:r>
                <m:t>i</m:t>
              </m:r>
              <m:r>
                <m:rPr>
                  <m:sty m:val="p"/>
                </m:rPr>
                <m:t>,</m:t>
              </m:r>
              <m:r>
                <m:t>k</m:t>
              </m:r>
            </m:e>
          </m:d>
          <m:r>
            <m:rPr>
              <m:sty m:val="p"/>
            </m:rPr>
            <m:t>=</m:t>
          </m:r>
          <m:d>
            <m:dPr>
              <m:begChr m:val="("/>
              <m:sepChr m:val=""/>
              <m:endChr m:val=")"/>
              <m:grow/>
            </m:dPr>
            <m:e>
              <m:r>
                <m:t>1</m:t>
              </m:r>
              <m:r>
                <m:rPr>
                  <m:sty m:val="p"/>
                </m:rPr>
                <m:t>−</m:t>
              </m:r>
              <m:r>
                <m:t>γ</m:t>
              </m:r>
            </m:e>
          </m:d>
          <m:sSub>
            <m:e>
              <m:r>
                <m:t>u</m:t>
              </m:r>
            </m:e>
            <m:sub>
              <m:r>
                <m:t>i</m:t>
              </m:r>
              <m:r>
                <m:t>k</m:t>
              </m:r>
            </m:sub>
          </m:sSub>
        </m:oMath>
      </m:oMathPara>
    </w:p>
    <w:p>
      <w:pPr>
        <w:pStyle w:val="FirstParagraph"/>
      </w:pPr>
      <m:oMathPara>
        <m:oMathParaPr>
          <m:jc m:val="center"/>
        </m:oMathParaPr>
        <m:oMath>
          <m:sSubSup>
            <m:e>
              <m:r>
                <m:t>M</m:t>
              </m:r>
            </m:e>
            <m:sub>
              <m:r>
                <m:t>p</m:t>
              </m:r>
              <m:r>
                <m:t>r</m:t>
              </m:r>
              <m:r>
                <m:t>e</m:t>
              </m:r>
            </m:sub>
            <m:sup>
              <m:r>
                <m:t>C</m:t>
              </m:r>
              <m:r>
                <m:t>F</m:t>
              </m:r>
              <m:r>
                <m:rPr>
                  <m:sty m:val="p"/>
                </m:rPr>
                <m:t>,</m:t>
              </m:r>
              <m:r>
                <m:t>S</m:t>
              </m:r>
            </m:sup>
          </m:sSubSup>
          <m:d>
            <m:dPr>
              <m:begChr m:val="("/>
              <m:sepChr m:val=""/>
              <m:endChr m:val=")"/>
              <m:grow/>
            </m:dPr>
            <m:e>
              <m:r>
                <m:t>k</m:t>
              </m:r>
              <m:r>
                <m:rPr>
                  <m:sty m:val="p"/>
                </m:rPr>
                <m:t>,</m:t>
              </m:r>
              <m:r>
                <m:t>i</m:t>
              </m:r>
            </m:e>
          </m:d>
          <m:r>
            <m:rPr>
              <m:sty m:val="p"/>
            </m:rPr>
            <m:t>=</m:t>
          </m:r>
          <m:r>
            <m:t>0</m:t>
          </m:r>
        </m:oMath>
      </m:oMathPara>
    </w:p>
    <w:p>
      <w:pPr>
        <w:pStyle w:val="FirstParagraph"/>
      </w:pPr>
      <w:r>
        <w:t xml:space="preserve">The source pathway therefore begins with item-to-source associations but no source-to-item competition.</w:t>
      </w:r>
      <w:r>
        <w:t xml:space="preserve"> </w:t>
      </w:r>
      <w:r>
        <w:t xml:space="preserve">Source-based competition is learned during encoding and is controlled by the source learning scale.</w:t>
      </w:r>
    </w:p>
    <w:bookmarkEnd w:id="29"/>
    <w:bookmarkStart w:id="30" w:name="encoding-across-phases"/>
    <w:p>
      <w:pPr>
        <w:pStyle w:val="Heading2"/>
      </w:pPr>
      <w:r>
        <w:t xml:space="preserve">Encoding Across Phases</w:t>
      </w:r>
    </w:p>
    <w:p>
      <w:pPr>
        <w:pStyle w:val="FirstParagraph"/>
      </w:pPr>
      <w:r>
        <w:t xml:space="preserve">The film, break, interference, and filler phases use the same encoding operation with phase-specific rates.</w:t>
      </w:r>
      <w:r>
        <w:t xml:space="preserve"> </w:t>
      </w:r>
      <w:r>
        <w:t xml:space="preserve">Let</w:t>
      </w:r>
      <w:r>
        <w:t xml:space="preserve"> </w:t>
      </w:r>
      <m:oMath>
        <m:r>
          <m:t>p</m:t>
        </m:r>
      </m:oMath>
      <w:r>
        <w:t xml:space="preserve"> </w:t>
      </w:r>
      <w:r>
        <w:t xml:space="preserve">index the current phase and let</w:t>
      </w:r>
      <w:r>
        <w:t xml:space="preserve"> </w:t>
      </w:r>
      <m:oMath>
        <m:sSub>
          <m:e>
            <m:r>
              <m:t>β</m:t>
            </m:r>
          </m:e>
          <m:sub>
            <m:r>
              <m:t>p</m:t>
            </m:r>
          </m:sub>
        </m:sSub>
      </m:oMath>
      <w:r>
        <w:t xml:space="preserve"> </w:t>
      </w:r>
      <w:r>
        <w:t xml:space="preserve">and</w:t>
      </w:r>
      <w:r>
        <w:t xml:space="preserve"> </w:t>
      </w:r>
      <m:oMath>
        <m:sSub>
          <m:e>
            <m:r>
              <m:t>λ</m:t>
            </m:r>
          </m:e>
          <m:sub>
            <m:r>
              <m:t>p</m:t>
            </m:r>
          </m:sub>
        </m:sSub>
      </m:oMath>
      <w:r>
        <w:t xml:space="preserve"> </w:t>
      </w:r>
      <w:r>
        <w:t xml:space="preserve">denote that phase’s temporal drift rate and context-to-item learning scale.</w:t>
      </w:r>
      <w:r>
        <w:t xml:space="preserve"> </w:t>
      </w:r>
      <w:r>
        <w:t xml:space="preserve">The film phase encodes target items with baseline rates.</w:t>
      </w:r>
      <w:r>
        <w:t xml:space="preserve"> </w:t>
      </w:r>
      <w:r>
        <w:t xml:space="preserve">The break and filler phases add intervening experience.</w:t>
      </w:r>
      <w:r>
        <w:t xml:space="preserve"> </w:t>
      </w:r>
      <w:r>
        <w:t xml:space="preserve">The interference phase encodes task items whose effect depends on their strength and the similarity between their associated context states and film context.</w:t>
      </w:r>
    </w:p>
    <w:p>
      <w:pPr>
        <w:pStyle w:val="BodyText"/>
      </w:pPr>
      <w:r>
        <w:t xml:space="preserve">For item</w:t>
      </w:r>
      <w:r>
        <w:t xml:space="preserve"> </w:t>
      </w:r>
      <m:oMath>
        <m:r>
          <m:t>i</m:t>
        </m:r>
      </m:oMath>
      <w:r>
        <w:t xml:space="preserve">, temporal context input is retrieved by probing item-to-context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r>
                <m:rPr>
                  <m:sty m:val="p"/>
                </m:rPr>
                <m:t>,</m:t>
              </m:r>
              <m:r>
                <m:t>T</m:t>
              </m:r>
            </m:sup>
          </m:sSup>
          <m:sSub>
            <m:e>
              <m:r>
                <m:t>f</m:t>
              </m:r>
            </m:e>
            <m:sub>
              <m:r>
                <m:t>i</m:t>
              </m:r>
            </m:sub>
          </m:sSub>
        </m:oMath>
      </m:oMathPara>
    </w:p>
    <w:p>
      <w:pPr>
        <w:pStyle w:val="FirstParagraph"/>
      </w:pPr>
      <w:r>
        <w:t xml:space="preserve">The model normalizes the input to unit length.</w:t>
      </w:r>
      <w:r>
        <w:t xml:space="preserve"> </w:t>
      </w:r>
      <w:r>
        <w:t xml:space="preserve">Temporal context then drifts toward the normalized input:</w:t>
      </w:r>
    </w:p>
    <w:p>
      <w:pPr>
        <w:pStyle w:val="BodyText"/>
      </w:pPr>
      <m:oMathPara>
        <m:oMathParaPr>
          <m:jc m:val="center"/>
        </m:oMathParaPr>
        <m:oMath>
          <m:sSubSup>
            <m:e>
              <m:r>
                <m:t>c</m:t>
              </m:r>
            </m:e>
            <m:sub>
              <m:r>
                <m:t>i</m:t>
              </m:r>
            </m:sub>
            <m:sup>
              <m:r>
                <m:t>T</m:t>
              </m:r>
            </m:sup>
          </m:sSubSup>
          <m:r>
            <m:rPr>
              <m:sty m:val="p"/>
            </m:rPr>
            <m:t>=</m:t>
          </m:r>
          <m:sSubSup>
            <m:e>
              <m:r>
                <m:t>ρ</m:t>
              </m:r>
            </m:e>
            <m:sub>
              <m:r>
                <m:t>i</m:t>
              </m:r>
            </m:sub>
            <m:sup>
              <m:r>
                <m:t>T</m:t>
              </m:r>
            </m:sup>
          </m:sSubSup>
          <m:r>
            <m:t> </m:t>
          </m:r>
          <m:sSubSup>
            <m:e>
              <m:r>
                <m:t>c</m:t>
              </m:r>
            </m:e>
            <m:sub>
              <m:r>
                <m:t>i</m:t>
              </m:r>
              <m:r>
                <m:rPr>
                  <m:sty m:val="p"/>
                </m:rPr>
                <m:t>−</m:t>
              </m:r>
              <m:r>
                <m:t>1</m:t>
              </m:r>
            </m:sub>
            <m:sup>
              <m:r>
                <m:t>T</m:t>
              </m:r>
            </m:sup>
          </m:sSubSup>
          <m:r>
            <m:rPr>
              <m:sty m:val="p"/>
            </m:rPr>
            <m:t>+</m:t>
          </m:r>
          <m:sSub>
            <m:e>
              <m:r>
                <m:t>β</m:t>
              </m:r>
            </m:e>
            <m:sub>
              <m:r>
                <m:t>p</m:t>
              </m:r>
            </m:sub>
          </m:sSub>
          <m:r>
            <m:t> </m:t>
          </m:r>
          <m:sSubSup>
            <m:e>
              <m:r>
                <m:t>c</m:t>
              </m:r>
            </m:e>
            <m:sub>
              <m:r>
                <m:t>i</m:t>
              </m:r>
            </m:sub>
            <m:sup>
              <m:r>
                <m:t>I</m:t>
              </m:r>
              <m:r>
                <m:t>N</m:t>
              </m:r>
              <m:r>
                <m:rPr>
                  <m:sty m:val="p"/>
                </m:rPr>
                <m:t>,</m:t>
              </m:r>
              <m:r>
                <m:t>T</m:t>
              </m:r>
            </m:sup>
          </m:sSubSup>
        </m:oMath>
      </m:oMathPara>
    </w:p>
    <w:p>
      <w:pPr>
        <w:pStyle w:val="FirstParagraph"/>
      </w:pPr>
      <m:oMathPara>
        <m:oMathParaPr>
          <m:jc m:val="center"/>
        </m:oMathParaPr>
        <m:oMath>
          <m:sSubSup>
            <m:e>
              <m:r>
                <m:t>ρ</m:t>
              </m:r>
            </m:e>
            <m:sub>
              <m:r>
                <m:t>i</m:t>
              </m:r>
            </m:sub>
            <m:sup>
              <m:r>
                <m:t>T</m:t>
              </m:r>
            </m:sup>
          </m:sSubSup>
          <m:r>
            <m:rPr>
              <m:sty m:val="p"/>
            </m:rPr>
            <m:t>=</m:t>
          </m:r>
          <m:rad>
            <m:radPr>
              <m:degHide m:val="on"/>
            </m:radPr>
            <m:deg/>
            <m:e>
              <m:r>
                <m:t>1</m:t>
              </m:r>
              <m:r>
                <m:rPr>
                  <m:sty m:val="p"/>
                </m:rPr>
                <m:t>+</m:t>
              </m:r>
              <m:sSubSup>
                <m:e>
                  <m:r>
                    <m:t>β</m:t>
                  </m:r>
                </m:e>
                <m:sub>
                  <m:r>
                    <m:t>p</m:t>
                  </m:r>
                </m:sub>
                <m:sup>
                  <m:r>
                    <m:t>2</m:t>
                  </m:r>
                </m:sup>
              </m:sSubSup>
              <m:d>
                <m:dPr>
                  <m:begChr m:val="["/>
                  <m:sepChr m:val=""/>
                  <m:endChr m:val="]"/>
                  <m:grow/>
                </m:dPr>
                <m:e>
                  <m:sSup>
                    <m:e>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r>
                                <m:rPr>
                                  <m:sty m:val="p"/>
                                </m:rPr>
                                <m:t>,</m:t>
                              </m:r>
                              <m:r>
                                <m:t>T</m:t>
                              </m:r>
                            </m:sup>
                          </m:sSubSup>
                        </m:e>
                      </m:d>
                    </m:e>
                    <m:sup>
                      <m:r>
                        <m:t>2</m:t>
                      </m:r>
                    </m:sup>
                  </m:sSup>
                  <m:r>
                    <m:rPr>
                      <m:sty m:val="p"/>
                    </m:rPr>
                    <m:t>−</m:t>
                  </m:r>
                  <m:r>
                    <m:t>1</m:t>
                  </m:r>
                </m:e>
              </m:d>
            </m:e>
          </m:rad>
          <m:r>
            <m:rPr>
              <m:sty m:val="p"/>
            </m:rPr>
            <m:t>−</m:t>
          </m:r>
          <m:sSub>
            <m:e>
              <m:r>
                <m:t>β</m:t>
              </m:r>
            </m:e>
            <m:sub>
              <m:r>
                <m:t>p</m:t>
              </m:r>
            </m:sub>
          </m:sSub>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r>
                    <m:rPr>
                      <m:sty m:val="p"/>
                    </m:rPr>
                    <m:t>,</m:t>
                  </m:r>
                  <m:r>
                    <m:t>T</m:t>
                  </m:r>
                </m:sup>
              </m:sSubSup>
            </m:e>
          </m:d>
        </m:oMath>
      </m:oMathPara>
    </w:p>
    <w:p>
      <w:pPr>
        <w:pStyle w:val="FirstParagraph"/>
      </w:pPr>
      <w:r>
        <w:t xml:space="preserve">The</w:t>
      </w:r>
      <w:r>
        <w:t xml:space="preserve"> </w:t>
      </w:r>
      <m:oMath>
        <m:sSubSup>
          <m:e>
            <m:r>
              <m:t>ρ</m:t>
            </m:r>
          </m:e>
          <m:sub>
            <m:r>
              <m:t>i</m:t>
            </m:r>
          </m:sub>
          <m:sup>
            <m:r>
              <m:t>T</m:t>
            </m:r>
          </m:sup>
        </m:sSubSup>
      </m:oMath>
      <w:r>
        <w:t xml:space="preserve"> </w:t>
      </w:r>
      <w:r>
        <w:t xml:space="preserve">term preserves unit length.</w:t>
      </w:r>
      <w:r>
        <w:t xml:space="preserve"> </w:t>
      </w:r>
      <w:r>
        <w:t xml:space="preserve">The drift rate</w:t>
      </w:r>
      <w:r>
        <w:t xml:space="preserve"> </w:t>
      </w:r>
      <m:oMath>
        <m:sSub>
          <m:e>
            <m:r>
              <m:t>β</m:t>
            </m:r>
          </m:e>
          <m:sub>
            <m:r>
              <m:t>p</m:t>
            </m:r>
          </m:sub>
        </m:sSub>
      </m:oMath>
      <w:r>
        <w:t xml:space="preserve"> </w:t>
      </w:r>
      <w:r>
        <w:t xml:space="preserve">controls how far the current phase moves context away from the prior phase.</w:t>
      </w:r>
      <w:r>
        <w:t xml:space="preserve"> </w:t>
      </w:r>
      <w:r>
        <w:t xml:space="preserve">In selective-interference simulations, this rate helps determine whether interference items are encoded near or far from the film context.</w:t>
      </w:r>
    </w:p>
    <w:p>
      <w:pPr>
        <w:pStyle w:val="BodyText"/>
      </w:pPr>
      <w:r>
        <w:t xml:space="preserve">Feature-to-context associations update by an outer product after context updating:</w:t>
      </w:r>
    </w:p>
    <w:p>
      <w:pPr>
        <w:pStyle w:val="BodyText"/>
      </w:pPr>
      <m:oMathPara>
        <m:oMathParaPr>
          <m:jc m:val="center"/>
        </m:oMathParaPr>
        <m:oMath>
          <m:r>
            <m:t>Δ</m:t>
          </m:r>
          <m:sSup>
            <m:e>
              <m:r>
                <m:t>M</m:t>
              </m:r>
            </m:e>
            <m:sup>
              <m:r>
                <m:t>F</m:t>
              </m:r>
              <m:r>
                <m:t>C</m:t>
              </m:r>
              <m:r>
                <m:rPr>
                  <m:sty m:val="p"/>
                </m:rPr>
                <m:t>,</m:t>
              </m:r>
              <m:r>
                <m:t>T</m:t>
              </m:r>
            </m:sup>
          </m:sSup>
          <m:r>
            <m:rPr>
              <m:sty m:val="p"/>
            </m:rPr>
            <m:t>=</m:t>
          </m:r>
          <m:r>
            <m:t>γ</m:t>
          </m:r>
          <m:sSub>
            <m:e>
              <m:r>
                <m:t>f</m:t>
              </m:r>
            </m:e>
            <m:sub>
              <m:r>
                <m:t>i</m:t>
              </m:r>
            </m:sub>
          </m:sSub>
          <m:sSup>
            <m:e>
              <m:d>
                <m:dPr>
                  <m:begChr m:val="("/>
                  <m:sepChr m:val=""/>
                  <m:endChr m:val=")"/>
                  <m:grow/>
                </m:dPr>
                <m:e>
                  <m:sSubSup>
                    <m:e>
                      <m:r>
                        <m:t>c</m:t>
                      </m:r>
                    </m:e>
                    <m:sub>
                      <m:r>
                        <m:t>i</m:t>
                      </m:r>
                    </m:sub>
                    <m:sup>
                      <m:r>
                        <m:t>T</m:t>
                      </m:r>
                    </m:sup>
                  </m:sSubSup>
                </m:e>
              </m:d>
            </m:e>
            <m:sup>
              <m:r>
                <m:rPr>
                  <m:sty m:val="p"/>
                </m:rPr>
                <m:t>⊤</m:t>
              </m:r>
            </m:sup>
          </m:sSup>
        </m:oMath>
      </m:oMathPara>
    </w:p>
    <w:p>
      <w:pPr>
        <w:pStyle w:val="FirstParagraph"/>
      </w:pPr>
      <w:r>
        <w:t xml:space="preserve">A primacy function weights temporal context-to-item learning:</w:t>
      </w:r>
    </w:p>
    <w:p>
      <w:pPr>
        <w:pStyle w:val="BodyText"/>
      </w:pPr>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oMath>
      </m:oMathPara>
    </w:p>
    <w:p>
      <w:pPr>
        <w:pStyle w:val="FirstParagraph"/>
      </w:pPr>
      <m:oMathPara>
        <m:oMathParaPr>
          <m:jc m:val="center"/>
        </m:oMathParaPr>
        <m:oMath>
          <m:r>
            <m:t>Δ</m:t>
          </m:r>
          <m:sSup>
            <m:e>
              <m:r>
                <m:t>M</m:t>
              </m:r>
            </m:e>
            <m:sup>
              <m:r>
                <m:t>C</m:t>
              </m:r>
              <m:r>
                <m:t>F</m:t>
              </m:r>
              <m:r>
                <m:rPr>
                  <m:sty m:val="p"/>
                </m:rPr>
                <m:t>,</m:t>
              </m:r>
              <m:r>
                <m:t>T</m:t>
              </m:r>
            </m:sup>
          </m:sSup>
          <m:r>
            <m:rPr>
              <m:sty m:val="p"/>
            </m:rPr>
            <m:t>=</m:t>
          </m:r>
          <m:sSub>
            <m:e>
              <m:r>
                <m:t>λ</m:t>
              </m:r>
            </m:e>
            <m:sub>
              <m:r>
                <m:t>p</m:t>
              </m:r>
            </m:sub>
          </m:sSub>
          <m:sSub>
            <m:e>
              <m:r>
                <m:t>ϕ</m:t>
              </m:r>
            </m:e>
            <m:sub>
              <m:r>
                <m:t>i</m:t>
              </m:r>
            </m:sub>
          </m:sSub>
          <m:sSubSup>
            <m:e>
              <m:r>
                <m:t>c</m:t>
              </m:r>
            </m:e>
            <m:sub>
              <m:r>
                <m:t>i</m:t>
              </m:r>
            </m:sub>
            <m:sup>
              <m:r>
                <m:t>T</m:t>
              </m:r>
            </m:sup>
          </m:sSubSup>
          <m:sSubSup>
            <m:e>
              <m:r>
                <m:t>f</m:t>
              </m:r>
            </m:e>
            <m:sub>
              <m:r>
                <m:t>i</m:t>
              </m:r>
            </m:sub>
            <m:sup>
              <m:r>
                <m:rPr>
                  <m:sty m:val="p"/>
                </m:rPr>
                <m:t>⊤</m:t>
              </m:r>
            </m:sup>
          </m:sSubSup>
        </m:oMath>
      </m:oMathPara>
    </w:p>
    <w:p>
      <w:pPr>
        <w:pStyle w:val="FirstParagraph"/>
      </w:pPr>
      <w:r>
        <w:t xml:space="preserve">Here,</w:t>
      </w:r>
      <w:r>
        <w:t xml:space="preserve"> </w:t>
      </w:r>
      <m:oMath>
        <m:sSub>
          <m:e>
            <m:r>
              <m:t>λ</m:t>
            </m:r>
          </m:e>
          <m:sub>
            <m:r>
              <m:t>p</m:t>
            </m:r>
          </m:sub>
        </m:sSub>
      </m:oMath>
      <w:r>
        <w:t xml:space="preserve"> </w:t>
      </w:r>
      <w:r>
        <w:t xml:space="preserve">is the phase-specific MCF learning scale.</w:t>
      </w:r>
      <w:r>
        <w:t xml:space="preserve"> </w:t>
      </w:r>
      <w:r>
        <w:t xml:space="preserve">Increasing</w:t>
      </w:r>
      <w:r>
        <w:t xml:space="preserve"> </w:t>
      </w:r>
      <m:oMath>
        <m:sSub>
          <m:e>
            <m:r>
              <m:t>λ</m:t>
            </m:r>
          </m:e>
          <m:sub>
            <m:r>
              <m:t>p</m:t>
            </m:r>
          </m:sub>
        </m:sSub>
      </m:oMath>
      <w:r>
        <w:t xml:space="preserve"> </w:t>
      </w:r>
      <w:r>
        <w:t xml:space="preserve">during interference makes task items stronger competitors for later context-to-item retrieval.</w:t>
      </w:r>
      <w:r>
        <w:t xml:space="preserve"> </w:t>
      </w:r>
      <w:r>
        <w:t xml:space="preserve">The primary source-only eCMR variant does not allow source/emotional status to modulate temporal context-to-item learning; temporal learning remains primacy-driven unless a later sensitivity analysis explicitly turns on broad temporal modulation.</w:t>
      </w:r>
    </w:p>
    <w:bookmarkEnd w:id="30"/>
    <w:bookmarkStart w:id="32" w:name="sourceemotional-context"/>
    <w:p>
      <w:pPr>
        <w:pStyle w:val="Heading2"/>
      </w:pPr>
      <w:r>
        <w:t xml:space="preserve">Source/Emotional Context</w:t>
      </w:r>
    </w:p>
    <w:p>
      <w:pPr>
        <w:pStyle w:val="FirstParagraph"/>
      </w:pPr>
      <w:r>
        <w:t xml:space="preserve">Source context updates in parallel with temporal context.</w:t>
      </w:r>
      <w:r>
        <w:t xml:space="preserve"> </w:t>
      </w:r>
      <w:r>
        <w:t xml:space="preserve">For item</w:t>
      </w:r>
      <w:r>
        <w:t xml:space="preserve"> </w:t>
      </w:r>
      <m:oMath>
        <m:r>
          <m:t>i</m:t>
        </m:r>
      </m:oMath>
      <w:r>
        <w:t xml:space="preserve">, source-context input is retrieved by probing</w:t>
      </w:r>
      <w:r>
        <w:t xml:space="preserve"> </w:t>
      </w:r>
      <m:oMath>
        <m:sSup>
          <m:e>
            <m:r>
              <m:t>M</m:t>
            </m:r>
          </m:e>
          <m:sup>
            <m:r>
              <m:t>F</m:t>
            </m:r>
            <m:r>
              <m:t>C</m:t>
            </m:r>
            <m:r>
              <m:rPr>
                <m:sty m:val="p"/>
              </m:rPr>
              <m:t>,</m:t>
            </m:r>
            <m:r>
              <m:t>S</m:t>
            </m:r>
          </m:sup>
        </m:sSup>
      </m:oMath>
      <w:r>
        <w:t xml:space="preserve">:</w:t>
      </w:r>
    </w:p>
    <w:p>
      <w:pPr>
        <w:pStyle w:val="BodyText"/>
      </w:pPr>
      <m:oMathPara>
        <m:oMathParaPr>
          <m:jc m:val="center"/>
        </m:oMathParaPr>
        <m:oMath>
          <m:sSubSup>
            <m:e>
              <m:r>
                <m:t>c</m:t>
              </m:r>
            </m:e>
            <m:sub>
              <m:r>
                <m:t>i</m:t>
              </m:r>
            </m:sub>
            <m:sup>
              <m:r>
                <m:t>I</m:t>
              </m:r>
              <m:r>
                <m:t>N</m:t>
              </m:r>
              <m:r>
                <m:rPr>
                  <m:sty m:val="p"/>
                </m:rPr>
                <m:t>,</m:t>
              </m:r>
              <m:r>
                <m:t>S</m:t>
              </m:r>
            </m:sup>
          </m:sSubSup>
          <m:r>
            <m:rPr>
              <m:sty m:val="p"/>
            </m:rPr>
            <m:t>=</m:t>
          </m:r>
          <m:sSup>
            <m:e>
              <m:r>
                <m:t>M</m:t>
              </m:r>
            </m:e>
            <m:sup>
              <m:r>
                <m:t>F</m:t>
              </m:r>
              <m:r>
                <m:t>C</m:t>
              </m:r>
              <m:r>
                <m:rPr>
                  <m:sty m:val="p"/>
                </m:rPr>
                <m:t>,</m:t>
              </m:r>
              <m:r>
                <m:t>S</m:t>
              </m:r>
            </m:sup>
          </m:sSup>
          <m:sSub>
            <m:e>
              <m:r>
                <m:t>f</m:t>
              </m:r>
            </m:e>
            <m:sub>
              <m:r>
                <m:t>i</m:t>
              </m:r>
            </m:sub>
          </m:sSub>
        </m:oMath>
      </m:oMathPara>
    </w:p>
    <w:p>
      <w:pPr>
        <w:pStyle w:val="FirstParagraph"/>
      </w:pPr>
      <w:r>
        <w:t xml:space="preserve">Source context then integrates this input:</w:t>
      </w:r>
    </w:p>
    <w:p>
      <w:pPr>
        <w:pStyle w:val="BodyText"/>
      </w:pPr>
      <m:oMathPara>
        <m:oMathParaPr>
          <m:jc m:val="center"/>
        </m:oMathParaPr>
        <m:oMath>
          <m:sSubSup>
            <m:e>
              <m:r>
                <m:t>c</m:t>
              </m:r>
            </m:e>
            <m:sub>
              <m:r>
                <m:t>i</m:t>
              </m:r>
            </m:sub>
            <m:sup>
              <m:r>
                <m:t>S</m:t>
              </m:r>
            </m:sup>
          </m:sSubSup>
          <m:r>
            <m:rPr>
              <m:sty m:val="p"/>
            </m:rPr>
            <m:t>=</m:t>
          </m:r>
          <m:sSubSup>
            <m:e>
              <m:r>
                <m:t>ρ</m:t>
              </m:r>
            </m:e>
            <m:sub>
              <m:r>
                <m:t>i</m:t>
              </m:r>
            </m:sub>
            <m:sup>
              <m:r>
                <m:t>S</m:t>
              </m:r>
            </m:sup>
          </m:sSubSup>
          <m:r>
            <m:t> </m:t>
          </m:r>
          <m:sSubSup>
            <m:e>
              <m:r>
                <m:t>c</m:t>
              </m:r>
            </m:e>
            <m:sub>
              <m:r>
                <m:t>i</m:t>
              </m:r>
              <m:r>
                <m:rPr>
                  <m:sty m:val="p"/>
                </m:rPr>
                <m:t>−</m:t>
              </m:r>
              <m:r>
                <m:t>1</m:t>
              </m:r>
            </m:sub>
            <m:sup>
              <m:r>
                <m:t>S</m:t>
              </m:r>
            </m:sup>
          </m:sSubSup>
          <m:r>
            <m:rPr>
              <m:sty m:val="p"/>
            </m:rPr>
            <m:t>+</m:t>
          </m:r>
          <m:sSubSup>
            <m:e>
              <m:r>
                <m:t>β</m:t>
              </m:r>
            </m:e>
            <m:sub>
              <m:r>
                <m:t>e</m:t>
              </m:r>
              <m:r>
                <m:t>n</m:t>
              </m:r>
              <m:r>
                <m:t>c</m:t>
              </m:r>
            </m:sub>
            <m:sup>
              <m:r>
                <m:t>S</m:t>
              </m:r>
            </m:sup>
          </m:sSubSup>
          <m:r>
            <m:t> </m:t>
          </m:r>
          <m:sSubSup>
            <m:e>
              <m:r>
                <m:t>c</m:t>
              </m:r>
            </m:e>
            <m:sub>
              <m:r>
                <m:t>i</m:t>
              </m:r>
            </m:sub>
            <m:sup>
              <m:r>
                <m:t>I</m:t>
              </m:r>
              <m:r>
                <m:t>N</m:t>
              </m:r>
              <m:r>
                <m:rPr>
                  <m:sty m:val="p"/>
                </m:rPr>
                <m:t>,</m:t>
              </m:r>
              <m:r>
                <m:t>S</m:t>
              </m:r>
            </m:sup>
          </m:sSubSup>
        </m:oMath>
      </m:oMathPara>
    </w:p>
    <w:p>
      <w:pPr>
        <w:pStyle w:val="FirstParagraph"/>
      </w:pPr>
      <w:r>
        <w:t xml:space="preserve">Source feature-to-context learning mirrors the temporal pathway:</w:t>
      </w:r>
    </w:p>
    <w:p>
      <w:pPr>
        <w:pStyle w:val="BodyText"/>
      </w:pPr>
      <m:oMathPara>
        <m:oMathParaPr>
          <m:jc m:val="center"/>
        </m:oMathParaPr>
        <m:oMath>
          <m:r>
            <m:t>Δ</m:t>
          </m:r>
          <m:sSup>
            <m:e>
              <m:r>
                <m:t>M</m:t>
              </m:r>
            </m:e>
            <m:sup>
              <m:r>
                <m:t>F</m:t>
              </m:r>
              <m:r>
                <m:t>C</m:t>
              </m:r>
              <m:r>
                <m:rPr>
                  <m:sty m:val="p"/>
                </m:rPr>
                <m:t>,</m:t>
              </m:r>
              <m:r>
                <m:t>S</m:t>
              </m:r>
            </m:sup>
          </m:sSup>
          <m:r>
            <m:rPr>
              <m:sty m:val="p"/>
            </m:rPr>
            <m:t>=</m:t>
          </m:r>
          <m:r>
            <m:t>γ</m:t>
          </m:r>
          <m:sSub>
            <m:e>
              <m:r>
                <m:t>f</m:t>
              </m:r>
            </m:e>
            <m:sub>
              <m:r>
                <m:t>i</m:t>
              </m:r>
            </m:sub>
          </m:sSub>
          <m:sSup>
            <m:e>
              <m:d>
                <m:dPr>
                  <m:begChr m:val="("/>
                  <m:sepChr m:val=""/>
                  <m:endChr m:val=")"/>
                  <m:grow/>
                </m:dPr>
                <m:e>
                  <m:sSubSup>
                    <m:e>
                      <m:r>
                        <m:t>c</m:t>
                      </m:r>
                    </m:e>
                    <m:sub>
                      <m:r>
                        <m:t>i</m:t>
                      </m:r>
                    </m:sub>
                    <m:sup>
                      <m:r>
                        <m:t>S</m:t>
                      </m:r>
                    </m:sup>
                  </m:sSubSup>
                </m:e>
              </m:d>
            </m:e>
            <m:sup>
              <m:r>
                <m:rPr>
                  <m:sty m:val="p"/>
                </m:rPr>
                <m:t>⊤</m:t>
              </m:r>
            </m:sup>
          </m:sSup>
        </m:oMath>
      </m:oMathPara>
    </w:p>
    <w:p>
      <w:pPr>
        <w:pStyle w:val="FirstParagraph"/>
      </w:pPr>
      <w:r>
        <w:t xml:space="preserve">Source context-to-item learning is gated by the source flag:</w:t>
      </w:r>
    </w:p>
    <w:p>
      <w:pPr>
        <w:pStyle w:val="BodyText"/>
      </w:pPr>
      <m:oMathPara>
        <m:oMathParaPr>
          <m:jc m:val="center"/>
        </m:oMathParaPr>
        <m:oMath>
          <m:r>
            <m:t>Δ</m:t>
          </m:r>
          <m:sSup>
            <m:e>
              <m:r>
                <m:t>M</m:t>
              </m:r>
            </m:e>
            <m:sup>
              <m:r>
                <m:t>C</m:t>
              </m:r>
              <m:r>
                <m:t>F</m:t>
              </m:r>
              <m:r>
                <m:rPr>
                  <m:sty m:val="p"/>
                </m:rPr>
                <m:t>,</m:t>
              </m:r>
              <m:r>
                <m:t>S</m:t>
              </m:r>
            </m:sup>
          </m:sSup>
          <m:r>
            <m:rPr>
              <m:sty m:val="p"/>
            </m:rPr>
            <m:t>=</m:t>
          </m:r>
          <m:sSub>
            <m:e>
              <m:r>
                <m:t>λ</m:t>
              </m:r>
            </m:e>
            <m:sub>
              <m:r>
                <m:t>p</m:t>
              </m:r>
            </m:sub>
          </m:sSub>
          <m:sSub>
            <m:e>
              <m:r>
                <m:t>ϕ</m:t>
              </m:r>
            </m:e>
            <m:sub>
              <m:r>
                <m:t>i</m:t>
              </m:r>
            </m:sub>
          </m:sSub>
          <m:sSub>
            <m:e>
              <m:r>
                <m:t>ω</m:t>
              </m:r>
            </m:e>
            <m:sub>
              <m:r>
                <m:t>S</m:t>
              </m:r>
            </m:sub>
          </m:sSub>
          <m:sSub>
            <m:e>
              <m:r>
                <m:t>e</m:t>
              </m:r>
            </m:e>
            <m:sub>
              <m:r>
                <m:t>i</m:t>
              </m:r>
            </m:sub>
          </m:sSub>
          <m:sSubSup>
            <m:e>
              <m:r>
                <m:t>c</m:t>
              </m:r>
            </m:e>
            <m:sub>
              <m:r>
                <m:t>i</m:t>
              </m:r>
            </m:sub>
            <m:sup>
              <m:r>
                <m:t>S</m:t>
              </m:r>
            </m:sup>
          </m:sSubSup>
          <m:sSubSup>
            <m:e>
              <m:r>
                <m:t>f</m:t>
              </m:r>
            </m:e>
            <m:sub>
              <m:r>
                <m:t>i</m:t>
              </m:r>
            </m:sub>
            <m:sup>
              <m:r>
                <m:rPr>
                  <m:sty m:val="p"/>
                </m:rPr>
                <m:t>⊤</m:t>
              </m:r>
            </m:sup>
          </m:sSubSup>
        </m:oMath>
      </m:oMathPara>
    </w:p>
    <w:p>
      <w:pPr>
        <w:pStyle w:val="FirstParagraph"/>
      </w:pPr>
      <w:r>
        <w:t xml:space="preserve">The parameter</w:t>
      </w:r>
      <w:r>
        <w:t xml:space="preserve"> </w:t>
      </w:r>
      <m:oMath>
        <m:sSub>
          <m:e>
            <m:r>
              <m:t>ω</m:t>
            </m:r>
          </m:e>
          <m:sub>
            <m:r>
              <m:t>S</m:t>
            </m:r>
          </m:sub>
        </m:sSub>
      </m:oMath>
      <w:r>
        <w:t xml:space="preserve"> </w:t>
      </w:r>
      <w:r>
        <w:t xml:space="preserve">controls source-context-to-item learning for source/emotional items.</w:t>
      </w:r>
      <w:r>
        <w:t xml:space="preserve"> </w:t>
      </w:r>
      <w:r>
        <w:t xml:space="preserve">When</w:t>
      </w:r>
      <w:r>
        <w:t xml:space="preserve"> </w:t>
      </w:r>
      <m:oMath>
        <m:sSub>
          <m:e>
            <m:r>
              <m:t>ω</m:t>
            </m:r>
          </m:e>
          <m:sub>
            <m:r>
              <m:t>S</m:t>
            </m:r>
          </m:sub>
        </m:sSub>
        <m:r>
          <m:rPr>
            <m:sty m:val="p"/>
          </m:rPr>
          <m:t>=</m:t>
        </m:r>
        <m:r>
          <m:t>0</m:t>
        </m:r>
      </m:oMath>
      <w:r>
        <w:t xml:space="preserve"> </w:t>
      </w:r>
      <w:r>
        <w:t xml:space="preserve">or when all items are neutral, the source pathway does not contribute source-to-item competition.</w:t>
      </w:r>
      <w:r>
        <w:t xml:space="preserve"> </w:t>
      </w:r>
      <w:r>
        <w:t xml:space="preserve">When film and interference items share source/emotional status, the source pathway can increase overlap between the context cues supporting target and competitor items beyond temporal proximity alone.</w:t>
      </w:r>
    </w:p>
    <w:p>
      <w:pPr>
        <w:pStyle w:val="BodyText"/>
      </w:pPr>
      <w:r>
        <w:t xml:space="preserve">Each phase applies multiplicative scale factors to the base encoding rates.</w:t>
      </w:r>
      <w:r>
        <w:t xml:space="preserve"> </w:t>
      </w:r>
      <w:r>
        <w:t xml:space="preserve">The film phase uses base rates directly.</w:t>
      </w:r>
      <w:r>
        <w:t xml:space="preserve"> </w:t>
      </w:r>
      <w:r>
        <w:t xml:space="preserve">Subsequent phases modulate drift rate, which controls context proximity to preceding items, and</w:t>
      </w:r>
      <w:r>
        <w:t xml:space="preserve"> </w:t>
      </w:r>
      <m:oMath>
        <m:sSup>
          <m:e>
            <m:r>
              <m:t>M</m:t>
            </m:r>
          </m:e>
          <m:sup>
            <m:r>
              <m:t>C</m:t>
            </m:r>
            <m:r>
              <m:t>F</m:t>
            </m:r>
          </m:sup>
        </m:sSup>
      </m:oMath>
      <w:r>
        <w:t xml:space="preserve"> </w:t>
      </w:r>
      <w:r>
        <w:t xml:space="preserve">learning scale, which controls competitor encoding strength.</w:t>
      </w:r>
    </w:p>
    <w:bookmarkStart w:id="31" w:name="tbl-phase-scales"/>
    <w:p>
      <w:pPr>
        <w:pStyle w:val="FigureTitle"/>
      </w:pPr>
      <w:r>
        <w:t xml:space="preserve">Table 2</w:t>
      </w:r>
    </w:p>
    <w:p>
      <w:pPr>
        <w:pStyle w:val="Caption"/>
      </w:pPr>
      <w:r>
        <w:t xml:space="preserve">Phase-specific encoding rates. Drift scales multiply</w:t>
      </w:r>
      <w:r>
        <w:t xml:space="preserve"> </w:t>
      </w:r>
      <m:oMath>
        <m:sSub>
          <m:e>
            <m:r>
              <m:t>β</m:t>
            </m:r>
          </m:e>
          <m:sub>
            <m:r>
              <m:t>e</m:t>
            </m:r>
            <m:r>
              <m:t>n</m:t>
            </m:r>
            <m:r>
              <m:t>c</m:t>
            </m:r>
          </m:sub>
        </m:sSub>
      </m:oMath>
      <w:r>
        <w:t xml:space="preserve"> </w:t>
      </w:r>
      <w:r>
        <w:t xml:space="preserve">and are clipped to</w:t>
      </w:r>
      <w:r>
        <w:t xml:space="preserve"> </w:t>
      </w:r>
      <m:oMath>
        <m:d>
          <m:dPr>
            <m:begChr m:val="["/>
            <m:sepChr m:val=""/>
            <m:endChr m:val="]"/>
            <m:grow/>
          </m:dPr>
          <m:e>
            <m:r>
              <m:t>0</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Drift rate</w:t>
            </w:r>
          </w:p>
        </w:tc>
        <w:tc>
          <w:tcPr/>
          <w:p>
            <w:pPr>
              <w:pStyle w:val="Compact"/>
            </w:pPr>
            <m:oMath>
              <m:sSup>
                <m:e>
                  <m:r>
                    <m:t>M</m:t>
                  </m:r>
                </m:e>
                <m:sup>
                  <m:r>
                    <m:t>C</m:t>
                  </m:r>
                  <m:r>
                    <m:t>F</m:t>
                  </m:r>
                </m:sup>
              </m:sSup>
            </m:oMath>
            <w:r>
              <w:t xml:space="preserve"> </w:t>
            </w:r>
            <w:r>
              <w:t xml:space="preserve">learning scale</w:t>
            </w:r>
          </w:p>
        </w:tc>
        <w:tc>
          <w:tcPr/>
          <w:p>
            <w:pPr>
              <w:pStyle w:val="Compact"/>
            </w:pPr>
            <w:r>
              <w:t xml:space="preserve">Paradigm role</w:t>
            </w:r>
          </w:p>
        </w:tc>
      </w:tr>
      <w:tr>
        <w:tc>
          <w:tcPr/>
          <w:p>
            <w:pPr>
              <w:pStyle w:val="Compact"/>
            </w:pPr>
            <w:r>
              <w:t xml:space="preserve">Film</w:t>
            </w:r>
          </w:p>
        </w:tc>
        <w:tc>
          <w:tcPr/>
          <w:p>
            <w:pPr>
              <w:pStyle w:val="Compact"/>
            </w:pPr>
            <m:oMath>
              <m:sSub>
                <m:e>
                  <m:r>
                    <m:t>β</m:t>
                  </m:r>
                </m:e>
                <m:sub>
                  <m:r>
                    <m:t>e</m:t>
                  </m:r>
                  <m:r>
                    <m:t>n</m:t>
                  </m:r>
                  <m:r>
                    <m:t>c</m:t>
                  </m:r>
                </m:sub>
              </m:sSub>
            </m:oMath>
          </w:p>
        </w:tc>
        <w:tc>
          <w:tcPr/>
          <w:p>
            <w:pPr>
              <w:pStyle w:val="Compact"/>
            </w:pPr>
            <m:oMath>
              <m:r>
                <m:t>1</m:t>
              </m:r>
            </m:oMath>
          </w:p>
        </w:tc>
        <w:tc>
          <w:tcPr/>
          <w:p>
            <w:pPr>
              <w:pStyle w:val="Compact"/>
            </w:pPr>
            <w:r>
              <w:t xml:space="preserve">Target encoding</w:t>
            </w:r>
          </w:p>
        </w:tc>
      </w:tr>
      <w:tr>
        <w:tc>
          <w:tcPr/>
          <w:p>
            <w:pPr>
              <w:pStyle w:val="Compact"/>
            </w:pPr>
            <w:r>
              <w:t xml:space="preserve">Break</w:t>
            </w:r>
          </w:p>
        </w:tc>
        <w:tc>
          <w:tcPr/>
          <w:p>
            <w:pPr>
              <w:pStyle w:val="Compact"/>
            </w:pPr>
            <m:oMath>
              <m:sSubSup>
                <m:e>
                  <m:r>
                    <m:t>s</m:t>
                  </m:r>
                </m:e>
                <m:sub>
                  <m:r>
                    <m:rPr>
                      <m:nor/>
                      <m:sty m:val="p"/>
                    </m:rPr>
                    <m:t>break</m:t>
                  </m:r>
                </m:sub>
                <m:sup>
                  <m:r>
                    <m:t>β</m:t>
                  </m:r>
                </m:sup>
              </m:sSubSup>
              <m:r>
                <m:rPr>
                  <m:sty m:val="p"/>
                </m:rPr>
                <m:t>⋅</m:t>
              </m:r>
              <m:sSub>
                <m:e>
                  <m:r>
                    <m:t>β</m:t>
                  </m:r>
                </m:e>
                <m:sub>
                  <m:r>
                    <m:t>e</m:t>
                  </m:r>
                  <m:r>
                    <m:t>n</m:t>
                  </m:r>
                  <m:r>
                    <m:t>c</m:t>
                  </m:r>
                </m:sub>
              </m:sSub>
            </m:oMath>
          </w:p>
        </w:tc>
        <w:tc>
          <w:tcPr/>
          <w:p>
            <w:pPr>
              <w:pStyle w:val="Compact"/>
            </w:pPr>
            <m:oMath>
              <m:sSubSup>
                <m:e>
                  <m:r>
                    <m:t>s</m:t>
                  </m:r>
                </m:e>
                <m:sub>
                  <m:r>
                    <m:rPr>
                      <m:nor/>
                      <m:sty m:val="p"/>
                    </m:rPr>
                    <m:t>break</m:t>
                  </m:r>
                </m:sub>
                <m:sup>
                  <m:r>
                    <m:t>ϕ</m:t>
                  </m:r>
                </m:sup>
              </m:sSubSup>
            </m:oMath>
          </w:p>
        </w:tc>
        <w:tc>
          <w:tcPr/>
          <w:p>
            <w:pPr>
              <w:pStyle w:val="Compact"/>
            </w:pPr>
            <w:r>
              <w:t xml:space="preserve">Retention interval</w:t>
            </w:r>
          </w:p>
        </w:tc>
      </w:tr>
      <w:tr>
        <w:tc>
          <w:tcPr/>
          <w:p>
            <w:pPr>
              <w:pStyle w:val="Compact"/>
            </w:pPr>
            <w:r>
              <w:t xml:space="preserve">Interference</w:t>
            </w:r>
          </w:p>
        </w:tc>
        <w:tc>
          <w:tcPr/>
          <w:p>
            <w:pPr>
              <w:pStyle w:val="Compact"/>
            </w:pPr>
            <m:oMath>
              <m:sSubSup>
                <m:e>
                  <m:r>
                    <m:t>s</m:t>
                  </m:r>
                </m:e>
                <m:sub>
                  <m:r>
                    <m:rPr>
                      <m:nor/>
                      <m:sty m:val="p"/>
                    </m:rPr>
                    <m:t>int</m:t>
                  </m:r>
                </m:sub>
                <m:sup>
                  <m:r>
                    <m:t>β</m:t>
                  </m:r>
                </m:sup>
              </m:sSubSup>
              <m:r>
                <m:rPr>
                  <m:sty m:val="p"/>
                </m:rPr>
                <m:t>⋅</m:t>
              </m:r>
              <m:sSub>
                <m:e>
                  <m:r>
                    <m:t>β</m:t>
                  </m:r>
                </m:e>
                <m:sub>
                  <m:r>
                    <m:t>e</m:t>
                  </m:r>
                  <m:r>
                    <m:t>n</m:t>
                  </m:r>
                  <m:r>
                    <m:t>c</m:t>
                  </m:r>
                </m:sub>
              </m:sSub>
            </m:oMath>
          </w:p>
        </w:tc>
        <w:tc>
          <w:tcPr/>
          <w:p>
            <w:pPr>
              <w:pStyle w:val="Compact"/>
            </w:pPr>
            <m:oMath>
              <m:sSubSup>
                <m:e>
                  <m:r>
                    <m:t>s</m:t>
                  </m:r>
                </m:e>
                <m:sub>
                  <m:r>
                    <m:rPr>
                      <m:nor/>
                      <m:sty m:val="p"/>
                    </m:rPr>
                    <m:t>int</m:t>
                  </m:r>
                </m:sub>
                <m:sup>
                  <m:r>
                    <m:t>ϕ</m:t>
                  </m:r>
                </m:sup>
              </m:sSubSup>
            </m:oMath>
          </w:p>
        </w:tc>
        <w:tc>
          <w:tcPr/>
          <w:p>
            <w:pPr>
              <w:pStyle w:val="Compact"/>
            </w:pPr>
            <w:r>
              <w:t xml:space="preserve">Competitor encoding</w:t>
            </w:r>
          </w:p>
        </w:tc>
      </w:tr>
      <w:tr>
        <w:tc>
          <w:tcPr/>
          <w:p>
            <w:pPr>
              <w:pStyle w:val="Compact"/>
            </w:pPr>
            <w:r>
              <w:t xml:space="preserve">Filler</w:t>
            </w:r>
          </w:p>
        </w:tc>
        <w:tc>
          <w:tcPr/>
          <w:p>
            <w:pPr>
              <w:pStyle w:val="Compact"/>
            </w:pPr>
            <m:oMath>
              <m:sSubSup>
                <m:e>
                  <m:r>
                    <m:t>s</m:t>
                  </m:r>
                </m:e>
                <m:sub>
                  <m:r>
                    <m:rPr>
                      <m:nor/>
                      <m:sty m:val="p"/>
                    </m:rPr>
                    <m:t>fill</m:t>
                  </m:r>
                </m:sub>
                <m:sup>
                  <m:r>
                    <m:t>β</m:t>
                  </m:r>
                </m:sup>
              </m:sSubSup>
              <m:r>
                <m:rPr>
                  <m:sty m:val="p"/>
                </m:rPr>
                <m:t>⋅</m:t>
              </m:r>
              <m:sSub>
                <m:e>
                  <m:r>
                    <m:t>β</m:t>
                  </m:r>
                </m:e>
                <m:sub>
                  <m:r>
                    <m:t>e</m:t>
                  </m:r>
                  <m:r>
                    <m:t>n</m:t>
                  </m:r>
                  <m:r>
                    <m:t>c</m:t>
                  </m:r>
                </m:sub>
              </m:sSub>
            </m:oMath>
          </w:p>
        </w:tc>
        <w:tc>
          <w:tcPr/>
          <w:p>
            <w:pPr>
              <w:pStyle w:val="Compact"/>
            </w:pPr>
            <m:oMath>
              <m:sSubSup>
                <m:e>
                  <m:r>
                    <m:t>s</m:t>
                  </m:r>
                </m:e>
                <m:sub>
                  <m:r>
                    <m:rPr>
                      <m:nor/>
                      <m:sty m:val="p"/>
                    </m:rPr>
                    <m:t>fill</m:t>
                  </m:r>
                </m:sub>
                <m:sup>
                  <m:r>
                    <m:t>ϕ</m:t>
                  </m:r>
                </m:sup>
              </m:sSubSup>
            </m:oMath>
          </w:p>
        </w:tc>
        <w:tc>
          <w:tcPr/>
          <w:p>
            <w:pPr>
              <w:pStyle w:val="Compact"/>
            </w:pPr>
            <w:r>
              <w:t xml:space="preserve">Pre-recall buffer</w:t>
            </w:r>
          </w:p>
        </w:tc>
      </w:tr>
    </w:tbl>
    <w:bookmarkEnd w:id="31"/>
    <w:p>
      <w:pPr>
        <w:pStyle w:val="AfterWithoutNote"/>
      </w:pPr>
      <w:r>
        <w:t xml:space="preserve">The interference scales</w:t>
      </w:r>
      <w:r>
        <w:t xml:space="preserve"> </w:t>
      </w:r>
      <m:oMath>
        <m:sSubSup>
          <m:e>
            <m:r>
              <m:t>s</m:t>
            </m:r>
          </m:e>
          <m:sub>
            <m:r>
              <m:rPr>
                <m:nor/>
                <m:sty m:val="p"/>
              </m:rPr>
              <m:t>int</m:t>
            </m:r>
          </m:sub>
          <m:sup>
            <m:r>
              <m:t>β</m:t>
            </m:r>
          </m:sup>
        </m:sSubSup>
      </m:oMath>
      <w:r>
        <w:t xml:space="preserve"> </w:t>
      </w:r>
      <w:r>
        <w:t xml:space="preserve">and</w:t>
      </w:r>
      <w:r>
        <w:t xml:space="preserve"> </w:t>
      </w:r>
      <m:oMath>
        <m:sSubSup>
          <m:e>
            <m:r>
              <m:t>s</m:t>
            </m:r>
          </m:e>
          <m:sub>
            <m:r>
              <m:rPr>
                <m:nor/>
                <m:sty m:val="p"/>
              </m:rPr>
              <m:t>int</m:t>
            </m:r>
          </m:sub>
          <m:sup>
            <m:r>
              <m:t>ϕ</m:t>
            </m:r>
          </m:sup>
        </m:sSubSup>
      </m:oMath>
      <w:r>
        <w:t xml:space="preserve"> </w:t>
      </w:r>
      <w:r>
        <w:t xml:space="preserve">are central to the simulations.</w:t>
      </w:r>
      <w:r>
        <w:t xml:space="preserve"> </w:t>
      </w:r>
      <w:r>
        <w:t xml:space="preserve">The drift scale controls how much temporal context changes during interference encoding.</w:t>
      </w:r>
      <w:r>
        <w:t xml:space="preserve"> </w:t>
      </w:r>
      <w:r>
        <w:t xml:space="preserve">The MCF scale controls competitor encoding strength: stronger competitors capture more retrieval probability from film targets.</w:t>
      </w:r>
      <w:r>
        <w:t xml:space="preserve"> </w:t>
      </w:r>
      <w:r>
        <w:t xml:space="preserve">Together, drift and learning scales define whether interference is merely added experience or a set of strong competitors encoded into film-related context.</w:t>
      </w:r>
    </w:p>
    <w:bookmarkEnd w:id="32"/>
    <w:bookmarkStart w:id="33" w:name="reminder-reinstatement"/>
    <w:p>
      <w:pPr>
        <w:pStyle w:val="Heading2"/>
      </w:pPr>
      <w:r>
        <w:t xml:space="preserve">Reminder Reinstatement</w:t>
      </w:r>
    </w:p>
    <w:p>
      <w:pPr>
        <w:pStyle w:val="FirstParagraph"/>
      </w:pPr>
      <w:r>
        <w:t xml:space="preserve">In the trauma-film paradigm, a film clip presented as a reminder between the break and interference phases serves to reinstate the film’s encoding context.</w:t>
      </w:r>
      <w:r>
        <w:t xml:space="preserve"> </w:t>
      </w:r>
      <w:r>
        <w:t xml:space="preserve">The model implements this in two steps.</w:t>
      </w:r>
      <w:r>
        <w:t xml:space="preserve"> </w:t>
      </w:r>
      <w:r>
        <w:t xml:space="preserve">First, both context representations drift toward their respective start-of-list states:</w:t>
      </w:r>
    </w:p>
    <w:p>
      <w:pPr>
        <w:pStyle w:val="BodyText"/>
      </w:pPr>
      <m:oMathPara>
        <m:oMathParaPr>
          <m:jc m:val="center"/>
        </m:oMathParaPr>
        <m:oMath>
          <m:sSubSup>
            <m:e>
              <m:r>
                <m:t>c</m:t>
              </m:r>
            </m:e>
            <m:sub>
              <m:r>
                <m:rPr>
                  <m:nor/>
                  <m:sty m:val="p"/>
                </m:rPr>
                <m:t>rem</m:t>
              </m:r>
            </m:sub>
            <m:sup>
              <m:r>
                <m:t>T</m:t>
              </m:r>
            </m:sup>
          </m:sSubSup>
          <m:r>
            <m:rPr>
              <m:sty m:val="p"/>
            </m:rPr>
            <m:t>=</m:t>
          </m:r>
          <m:r>
            <m:t>ρ</m:t>
          </m:r>
          <m:r>
            <m:t> </m:t>
          </m:r>
          <m:sSup>
            <m:e>
              <m:r>
                <m:t>c</m:t>
              </m:r>
            </m:e>
            <m:sup>
              <m:r>
                <m:t>T</m:t>
              </m:r>
            </m:sup>
          </m:sSup>
          <m:r>
            <m:rPr>
              <m:sty m:val="p"/>
            </m:rPr>
            <m:t>+</m:t>
          </m:r>
          <m:sSub>
            <m:e>
              <m:r>
                <m:t>β</m:t>
              </m:r>
            </m:e>
            <m:sub>
              <m:r>
                <m:rPr>
                  <m:nor/>
                  <m:sty m:val="p"/>
                </m:rPr>
                <m:t>rem,start</m:t>
              </m:r>
            </m:sub>
          </m:sSub>
          <m:r>
            <m:t> </m:t>
          </m:r>
          <m:sSubSup>
            <m:e>
              <m:r>
                <m:t>c</m:t>
              </m:r>
            </m:e>
            <m:sub>
              <m:r>
                <m:t>0</m:t>
              </m:r>
            </m:sub>
            <m:sup>
              <m:r>
                <m:t>T</m:t>
              </m:r>
            </m:sup>
          </m:sSubSup>
        </m:oMath>
      </m:oMathPara>
    </w:p>
    <w:p>
      <w:pPr>
        <w:pStyle w:val="FirstParagraph"/>
      </w:pPr>
      <m:oMathPara>
        <m:oMathParaPr>
          <m:jc m:val="center"/>
        </m:oMathParaPr>
        <m:oMath>
          <m:sSubSup>
            <m:e>
              <m:r>
                <m:t>c</m:t>
              </m:r>
            </m:e>
            <m:sub>
              <m:r>
                <m:rPr>
                  <m:nor/>
                  <m:sty m:val="p"/>
                </m:rPr>
                <m:t>rem</m:t>
              </m:r>
            </m:sub>
            <m:sup>
              <m:r>
                <m:t>S</m:t>
              </m:r>
            </m:sup>
          </m:sSubSup>
          <m:r>
            <m:rPr>
              <m:sty m:val="p"/>
            </m:rPr>
            <m:t>=</m:t>
          </m:r>
          <m:sSub>
            <m:e>
              <m:r>
                <m:t>ρ</m:t>
              </m:r>
            </m:e>
            <m:sub>
              <m:r>
                <m:t>S</m:t>
              </m:r>
            </m:sub>
          </m:sSub>
          <m:r>
            <m:t> </m:t>
          </m:r>
          <m:sSup>
            <m:e>
              <m:r>
                <m:t>c</m:t>
              </m:r>
            </m:e>
            <m:sup>
              <m:r>
                <m:t>S</m:t>
              </m:r>
            </m:sup>
          </m:sSup>
          <m:r>
            <m:rPr>
              <m:sty m:val="p"/>
            </m:rPr>
            <m:t>+</m:t>
          </m:r>
          <m:sSub>
            <m:e>
              <m:r>
                <m:t>β</m:t>
              </m:r>
            </m:e>
            <m:sub>
              <m:r>
                <m:rPr>
                  <m:nor/>
                  <m:sty m:val="p"/>
                </m:rPr>
                <m:t>rem,start</m:t>
              </m:r>
            </m:sub>
          </m:sSub>
          <m:r>
            <m:t> </m:t>
          </m:r>
          <m:sSubSup>
            <m:e>
              <m:r>
                <m:t>c</m:t>
              </m:r>
            </m:e>
            <m:sub>
              <m:r>
                <m:t>0</m:t>
              </m:r>
            </m:sub>
            <m:sup>
              <m:r>
                <m:t>S</m:t>
              </m:r>
            </m:sup>
          </m:sSubSup>
        </m:oMath>
      </m:oMathPara>
    </w:p>
    <w:p>
      <w:pPr>
        <w:pStyle w:val="FirstParagraph"/>
      </w:pPr>
      <w:r>
        <w:t xml:space="preserve">Here,</w:t>
      </w:r>
      <w:r>
        <w:t xml:space="preserve"> </w:t>
      </w:r>
      <m:oMath>
        <m:sSub>
          <m:e>
            <m:r>
              <m:t>β</m:t>
            </m:r>
          </m:e>
          <m:sub>
            <m:r>
              <m:rPr>
                <m:nor/>
                <m:sty m:val="p"/>
              </m:rPr>
              <m:t>rem,start</m:t>
            </m:r>
          </m:sub>
        </m:sSub>
        <m:r>
          <m:rPr>
            <m:sty m:val="p"/>
          </m:rPr>
          <m:t>=</m:t>
        </m:r>
        <m:sSubSup>
          <m:e>
            <m:r>
              <m:t>s</m:t>
            </m:r>
          </m:e>
          <m:sub>
            <m:r>
              <m:rPr>
                <m:nor/>
                <m:sty m:val="p"/>
              </m:rPr>
              <m:t>rem,start</m:t>
            </m:r>
          </m:sub>
          <m:sup>
            <m:r>
              <m:t>β</m:t>
            </m:r>
          </m:sup>
        </m:sSubSup>
        <m:r>
          <m:rPr>
            <m:sty m:val="p"/>
          </m:rPr>
          <m:t>⋅</m:t>
        </m:r>
        <m:sSub>
          <m:e>
            <m:r>
              <m:t>β</m:t>
            </m:r>
          </m:e>
          <m:sub>
            <m:r>
              <m:t>s</m:t>
            </m:r>
            <m:r>
              <m:t>t</m:t>
            </m:r>
            <m:r>
              <m:t>a</m:t>
            </m:r>
            <m:r>
              <m:t>r</m:t>
            </m:r>
            <m:r>
              <m:t>t</m:t>
            </m:r>
          </m:sub>
        </m:sSub>
      </m:oMath>
      <w:r>
        <w:t xml:space="preserve"> </w:t>
      </w:r>
      <w:r>
        <w:t xml:space="preserve">sets how strongly context shifts toward the pre-experimental state before the reminder arrives.</w:t>
      </w:r>
      <w:r>
        <w:t xml:space="preserve"> </w:t>
      </w:r>
      <w:r>
        <w:t xml:space="preserve">This partial reinstatement moves context back toward temporal states associated with film encoding.</w:t>
      </w:r>
    </w:p>
    <w:p>
      <w:pPr>
        <w:pStyle w:val="BodyText"/>
      </w:pPr>
      <w:r>
        <w:t xml:space="preserve">Second, each reminder item reinstates its specific temporal and source context through the same item-to-context pathway used during recall:</w:t>
      </w:r>
    </w:p>
    <w:p>
      <w:pPr>
        <w:pStyle w:val="BodyText"/>
      </w:pPr>
      <m:oMathPara>
        <m:oMathParaPr>
          <m:jc m:val="center"/>
        </m:oMathParaPr>
        <m:oMath>
          <m:sSubSup>
            <m:e>
              <m:r>
                <m:t>c</m:t>
              </m:r>
            </m:e>
            <m:sub>
              <m:r>
                <m:rPr>
                  <m:nor/>
                  <m:sty m:val="p"/>
                </m:rPr>
                <m:t>cue</m:t>
              </m:r>
            </m:sub>
            <m:sup>
              <m:r>
                <m:t>I</m:t>
              </m:r>
              <m:r>
                <m:t>N</m:t>
              </m:r>
              <m:r>
                <m:rPr>
                  <m:sty m:val="p"/>
                </m:rPr>
                <m:t>,</m:t>
              </m:r>
              <m:r>
                <m:t>T</m:t>
              </m:r>
            </m:sup>
          </m:sSubSup>
          <m:r>
            <m:rPr>
              <m:sty m:val="p"/>
            </m:rPr>
            <m:t>=</m:t>
          </m:r>
          <m:sSup>
            <m:e>
              <m:r>
                <m:t>M</m:t>
              </m:r>
            </m:e>
            <m:sup>
              <m:r>
                <m:t>F</m:t>
              </m:r>
              <m:r>
                <m:t>C</m:t>
              </m:r>
              <m:r>
                <m:rPr>
                  <m:sty m:val="p"/>
                </m:rPr>
                <m:t>,</m:t>
              </m:r>
              <m:r>
                <m:t>T</m:t>
              </m:r>
            </m:sup>
          </m:sSup>
          <m:sSub>
            <m:e>
              <m:r>
                <m:t>f</m:t>
              </m:r>
            </m:e>
            <m:sub>
              <m:r>
                <m:rPr>
                  <m:nor/>
                  <m:sty m:val="p"/>
                </m:rPr>
                <m:t>cue</m:t>
              </m:r>
            </m:sub>
          </m:sSub>
        </m:oMath>
      </m:oMathPara>
    </w:p>
    <w:p>
      <w:pPr>
        <w:pStyle w:val="FirstParagraph"/>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β</m:t>
              </m:r>
            </m:e>
            <m:sub>
              <m:r>
                <m:rPr>
                  <m:nor/>
                  <m:sty m:val="p"/>
                </m:rPr>
                <m:t>rem</m:t>
              </m:r>
            </m:sub>
          </m:sSub>
          <m:r>
            <m:t> </m:t>
          </m:r>
          <m:sSubSup>
            <m:e>
              <m:r>
                <m:t>c</m:t>
              </m:r>
            </m:e>
            <m:sub>
              <m:r>
                <m:rPr>
                  <m:nor/>
                  <m:sty m:val="p"/>
                </m:rPr>
                <m:t>cue</m:t>
              </m:r>
            </m:sub>
            <m:sup>
              <m:r>
                <m:t>I</m:t>
              </m:r>
              <m:r>
                <m:t>N</m:t>
              </m:r>
              <m:r>
                <m:rPr>
                  <m:sty m:val="p"/>
                </m:rPr>
                <m:t>,</m:t>
              </m:r>
              <m:r>
                <m:t>T</m:t>
              </m:r>
            </m:sup>
          </m:sSubSup>
        </m:oMath>
      </m:oMathPara>
    </w:p>
    <w:p>
      <w:pPr>
        <w:pStyle w:val="FirstParagraph"/>
      </w:pPr>
      <m:oMathPara>
        <m:oMathParaPr>
          <m:jc m:val="center"/>
        </m:oMathParaPr>
        <m:oMath>
          <m:sSubSup>
            <m:e>
              <m:r>
                <m:t>c</m:t>
              </m:r>
            </m:e>
            <m:sub>
              <m:r>
                <m:rPr>
                  <m:nor/>
                  <m:sty m:val="p"/>
                </m:rPr>
                <m:t>cue</m:t>
              </m:r>
            </m:sub>
            <m:sup>
              <m:r>
                <m:t>I</m:t>
              </m:r>
              <m:r>
                <m:t>N</m:t>
              </m:r>
              <m:r>
                <m:rPr>
                  <m:sty m:val="p"/>
                </m:rPr>
                <m:t>,</m:t>
              </m:r>
              <m:r>
                <m:t>S</m:t>
              </m:r>
            </m:sup>
          </m:sSubSup>
          <m:r>
            <m:rPr>
              <m:sty m:val="p"/>
            </m:rPr>
            <m:t>=</m:t>
          </m:r>
          <m:sSup>
            <m:e>
              <m:r>
                <m:t>M</m:t>
              </m:r>
            </m:e>
            <m:sup>
              <m:r>
                <m:t>F</m:t>
              </m:r>
              <m:r>
                <m:t>C</m:t>
              </m:r>
              <m:r>
                <m:rPr>
                  <m:sty m:val="p"/>
                </m:rPr>
                <m:t>,</m:t>
              </m:r>
              <m:r>
                <m:t>S</m:t>
              </m:r>
            </m:sup>
          </m:sSup>
          <m:sSub>
            <m:e>
              <m:r>
                <m:t>f</m:t>
              </m:r>
            </m:e>
            <m:sub>
              <m:r>
                <m:rPr>
                  <m:nor/>
                  <m:sty m:val="p"/>
                </m:rPr>
                <m:t>cue</m:t>
              </m:r>
            </m:sub>
          </m:sSub>
        </m:oMath>
      </m:oMathPara>
    </w:p>
    <w:p>
      <w:pPr>
        <w:pStyle w:val="FirstParagraph"/>
      </w:pPr>
      <m:oMathPara>
        <m:oMathParaPr>
          <m:jc m:val="center"/>
        </m:oMathParaPr>
        <m:oMath>
          <m:sSup>
            <m:e>
              <m:r>
                <m:t>c</m:t>
              </m:r>
            </m:e>
            <m:sup>
              <m:r>
                <m:t>S</m:t>
              </m:r>
            </m:sup>
          </m:sSup>
          <m:r>
            <m:rPr>
              <m:sty m:val="p"/>
            </m:rPr>
            <m:t>←</m:t>
          </m:r>
          <m:sSub>
            <m:e>
              <m:r>
                <m:t>ρ</m:t>
              </m:r>
            </m:e>
            <m:sub>
              <m:r>
                <m:t>S</m:t>
              </m:r>
            </m:sub>
          </m:sSub>
          <m:r>
            <m:t> </m:t>
          </m:r>
          <m:sSup>
            <m:e>
              <m:r>
                <m:t>c</m:t>
              </m:r>
            </m:e>
            <m:sup>
              <m:r>
                <m:t>S</m:t>
              </m:r>
            </m:sup>
          </m:sSup>
          <m:r>
            <m:rPr>
              <m:sty m:val="p"/>
            </m:rPr>
            <m:t>+</m:t>
          </m:r>
          <m:sSub>
            <m:e>
              <m:r>
                <m:t>β</m:t>
              </m:r>
            </m:e>
            <m:sub>
              <m:r>
                <m:rPr>
                  <m:nor/>
                  <m:sty m:val="p"/>
                </m:rPr>
                <m:t>rem</m:t>
              </m:r>
            </m:sub>
          </m:sSub>
          <m:r>
            <m:t> </m:t>
          </m:r>
          <m:sSubSup>
            <m:e>
              <m:r>
                <m:t>c</m:t>
              </m:r>
            </m:e>
            <m:sub>
              <m:r>
                <m:rPr>
                  <m:nor/>
                  <m:sty m:val="p"/>
                </m:rPr>
                <m:t>cue</m:t>
              </m:r>
            </m:sub>
            <m:sup>
              <m:r>
                <m:t>I</m:t>
              </m:r>
              <m:r>
                <m:t>N</m:t>
              </m:r>
              <m:r>
                <m:rPr>
                  <m:sty m:val="p"/>
                </m:rPr>
                <m:t>,</m:t>
              </m:r>
              <m:r>
                <m:t>S</m:t>
              </m:r>
            </m:sup>
          </m:sSubSup>
        </m:oMath>
      </m:oMathPara>
    </w:p>
    <w:p>
      <w:pPr>
        <w:pStyle w:val="FirstParagraph"/>
      </w:pPr>
      <w:r>
        <w:t xml:space="preserve">Here,</w:t>
      </w:r>
      <w:r>
        <w:t xml:space="preserve"> </w:t>
      </w:r>
      <m:oMath>
        <m:sSub>
          <m:e>
            <m:r>
              <m:t>β</m:t>
            </m:r>
          </m:e>
          <m:sub>
            <m:r>
              <m:rPr>
                <m:nor/>
                <m:sty m:val="p"/>
              </m:rPr>
              <m:t>rem</m:t>
            </m:r>
          </m:sub>
        </m:sSub>
        <m:r>
          <m:rPr>
            <m:sty m:val="p"/>
          </m:rPr>
          <m:t>=</m:t>
        </m:r>
        <m:sSubSup>
          <m:e>
            <m:r>
              <m:t>s</m:t>
            </m:r>
          </m:e>
          <m:sub>
            <m:r>
              <m:rPr>
                <m:nor/>
                <m:sty m:val="p"/>
              </m:rPr>
              <m:t>rem</m:t>
            </m:r>
          </m:sub>
          <m:sup>
            <m:r>
              <m:t>β</m:t>
            </m:r>
          </m:sup>
        </m:sSubSup>
        <m:r>
          <m:rPr>
            <m:sty m:val="p"/>
          </m:rPr>
          <m:t>⋅</m:t>
        </m:r>
        <m:sSub>
          <m:e>
            <m:r>
              <m:t>β</m:t>
            </m:r>
          </m:e>
          <m:sub>
            <m:r>
              <m:t>e</m:t>
            </m:r>
            <m:r>
              <m:t>n</m:t>
            </m:r>
            <m:r>
              <m:t>c</m:t>
            </m:r>
          </m:sub>
        </m:sSub>
      </m:oMath>
      <w:r>
        <w:t xml:space="preserve"> </w:t>
      </w:r>
      <w:r>
        <w:t xml:space="preserve">controls how strongly the reminder pulls context toward the film’s encoding state.</w:t>
      </w:r>
      <w:r>
        <w:t xml:space="preserve"> </w:t>
      </w:r>
      <w:r>
        <w:t xml:space="preserve">Critically, reminders reinstate context without forming new associations:</w:t>
      </w:r>
      <w:r>
        <w:t xml:space="preserve"> </w:t>
      </w:r>
      <m:oMath>
        <m:sSup>
          <m:e>
            <m:r>
              <m:t>M</m:t>
            </m:r>
          </m:e>
          <m:sup>
            <m:r>
              <m:t>F</m:t>
            </m:r>
            <m:r>
              <m:t>C</m:t>
            </m:r>
            <m:r>
              <m:rPr>
                <m:sty m:val="p"/>
              </m:rPr>
              <m:t>,</m:t>
            </m:r>
            <m:r>
              <m:t>T</m:t>
            </m:r>
          </m:sup>
        </m:sSup>
      </m:oMath>
      <w:r>
        <w:t xml:space="preserve">,</w:t>
      </w:r>
      <w:r>
        <w:t xml:space="preserve"> </w:t>
      </w:r>
      <m:oMath>
        <m:sSup>
          <m:e>
            <m:r>
              <m:t>M</m:t>
            </m:r>
          </m:e>
          <m:sup>
            <m:r>
              <m:t>C</m:t>
            </m:r>
            <m:r>
              <m:t>F</m:t>
            </m:r>
            <m:r>
              <m:rPr>
                <m:sty m:val="p"/>
              </m:rPr>
              <m:t>,</m:t>
            </m:r>
            <m:r>
              <m:t>T</m:t>
            </m:r>
          </m:sup>
        </m:sSup>
      </m:oMath>
      <w:r>
        <w:t xml:space="preserve">,</w:t>
      </w:r>
      <w:r>
        <w:t xml:space="preserve"> </w:t>
      </w:r>
      <m:oMath>
        <m:sSup>
          <m:e>
            <m:r>
              <m:t>M</m:t>
            </m:r>
          </m:e>
          <m:sup>
            <m:r>
              <m:t>F</m:t>
            </m:r>
            <m:r>
              <m:t>C</m:t>
            </m:r>
            <m:r>
              <m:rPr>
                <m:sty m:val="p"/>
              </m:rPr>
              <m:t>,</m:t>
            </m:r>
            <m:r>
              <m:t>S</m:t>
            </m:r>
          </m:sup>
        </m:sSup>
      </m:oMath>
      <w:r>
        <w:t xml:space="preserve">, and</w:t>
      </w:r>
      <w:r>
        <w:t xml:space="preserve"> </w:t>
      </w:r>
      <m:oMath>
        <m:sSup>
          <m:e>
            <m:r>
              <m:t>M</m:t>
            </m:r>
          </m:e>
          <m:sup>
            <m:r>
              <m:t>C</m:t>
            </m:r>
            <m:r>
              <m:t>F</m:t>
            </m:r>
            <m:r>
              <m:rPr>
                <m:sty m:val="p"/>
              </m:rPr>
              <m:t>,</m:t>
            </m:r>
            <m:r>
              <m:t>S</m:t>
            </m:r>
          </m:sup>
        </m:sSup>
      </m:oMath>
      <w:r>
        <w:t xml:space="preserve"> </w:t>
      </w:r>
      <w:r>
        <w:t xml:space="preserve">remain unchanged.</w:t>
      </w:r>
      <w:r>
        <w:t xml:space="preserve"> </w:t>
      </w:r>
      <w:r>
        <w:t xml:space="preserve">This distinction mirrors the clinical logic of a reminder cue — it reactivates the memory without adding new content.</w:t>
      </w:r>
    </w:p>
    <w:p>
      <w:pPr>
        <w:pStyle w:val="BodyText"/>
      </w:pPr>
      <w:r>
        <w:t xml:space="preserve">The reminder mechanism has a direct consequence for interference.</w:t>
      </w:r>
      <w:r>
        <w:t xml:space="preserve"> </w:t>
      </w:r>
      <w:r>
        <w:t xml:space="preserve">By pulling context back toward film-associated states, the reminder makes interference items encoded immediately afterward associated with temporal and potentially source context similar to the film context.</w:t>
      </w:r>
      <w:r>
        <w:t xml:space="preserve"> </w:t>
      </w:r>
      <w:r>
        <w:t xml:space="preserve">Stronger reinstatement (</w:t>
      </w:r>
      <m:oMath>
        <m:sSubSup>
          <m:e>
            <m:r>
              <m:t>s</m:t>
            </m:r>
          </m:e>
          <m:sub>
            <m:r>
              <m:rPr>
                <m:nor/>
                <m:sty m:val="p"/>
              </m:rPr>
              <m:t>rem</m:t>
            </m:r>
          </m:sub>
          <m:sup>
            <m:r>
              <m:t>β</m:t>
            </m:r>
          </m:sup>
        </m:sSubSup>
      </m:oMath>
      <w:r>
        <w:t xml:space="preserve"> </w:t>
      </w:r>
      <w:r>
        <w:t xml:space="preserve">closer to 1) produces more overlap between the context cues supporting film targets and interference competitors.</w:t>
      </w:r>
      <w:r>
        <w:t xml:space="preserve"> </w:t>
      </w:r>
      <w:r>
        <w:t xml:space="preserve">Delayed-interference simulations therefore manipulate reminder reinstatement as a graded overlap mechanism rather than as an all-or-none reactivation window.</w:t>
      </w:r>
    </w:p>
    <w:bookmarkEnd w:id="33"/>
    <w:bookmarkStart w:id="34" w:name="retrieval-and-termination"/>
    <w:p>
      <w:pPr>
        <w:pStyle w:val="Heading2"/>
      </w:pPr>
      <w:r>
        <w:t xml:space="preserve">Retrieval and Termination</w:t>
      </w:r>
    </w:p>
    <w:p>
      <w:pPr>
        <w:pStyle w:val="FirstParagraph"/>
      </w:pPr>
      <w:r>
        <w:t xml:space="preserve">Context-to-item retrieval underlies both intrusion-like retrieval and deliberate free recall.</w:t>
      </w:r>
      <w:r>
        <w:t xml:space="preserve"> </w:t>
      </w:r>
      <w:r>
        <w:t xml:space="preserve">At the start of retrieval, both context streams drift toward their initial states:</w:t>
      </w:r>
    </w:p>
    <w:p>
      <w:pPr>
        <w:pStyle w:val="BodyText"/>
      </w:pPr>
      <m:oMathPara>
        <m:oMathParaPr>
          <m:jc m:val="center"/>
        </m:oMathParaPr>
        <m:oMath>
          <m:sSubSup>
            <m:e>
              <m:r>
                <m:t>c</m:t>
              </m:r>
            </m:e>
            <m:sub>
              <m:r>
                <m:rPr>
                  <m:nor/>
                  <m:sty m:val="p"/>
                </m:rPr>
                <m:t>start</m:t>
              </m:r>
            </m:sub>
            <m:sup>
              <m:r>
                <m:t>T</m:t>
              </m:r>
            </m:sup>
          </m:sSubSup>
          <m:r>
            <m:rPr>
              <m:sty m:val="p"/>
            </m:rPr>
            <m:t>=</m:t>
          </m:r>
          <m:r>
            <m:t>ρ</m:t>
          </m:r>
          <m:r>
            <m:t> </m:t>
          </m:r>
          <m:sSubSup>
            <m:e>
              <m:r>
                <m:t>c</m:t>
              </m:r>
            </m:e>
            <m:sub>
              <m:r>
                <m:t>N</m:t>
              </m:r>
            </m:sub>
            <m:sup>
              <m:r>
                <m:t>T</m:t>
              </m:r>
            </m:sup>
          </m:sSubSup>
          <m:r>
            <m:rPr>
              <m:sty m:val="p"/>
            </m:rPr>
            <m:t>+</m:t>
          </m:r>
          <m:sSub>
            <m:e>
              <m:r>
                <m:t>β</m:t>
              </m:r>
            </m:e>
            <m:sub>
              <m:r>
                <m:t>s</m:t>
              </m:r>
              <m:r>
                <m:t>t</m:t>
              </m:r>
              <m:r>
                <m:t>a</m:t>
              </m:r>
              <m:r>
                <m:t>r</m:t>
              </m:r>
              <m:r>
                <m:t>t</m:t>
              </m:r>
            </m:sub>
          </m:sSub>
          <m:r>
            <m:t> </m:t>
          </m:r>
          <m:sSubSup>
            <m:e>
              <m:r>
                <m:t>c</m:t>
              </m:r>
            </m:e>
            <m:sub>
              <m:r>
                <m:t>0</m:t>
              </m:r>
            </m:sub>
            <m:sup>
              <m:r>
                <m:t>T</m:t>
              </m:r>
            </m:sup>
          </m:sSubSup>
        </m:oMath>
      </m:oMathPara>
    </w:p>
    <w:p>
      <w:pPr>
        <w:pStyle w:val="FirstParagraph"/>
      </w:pPr>
      <m:oMathPara>
        <m:oMathParaPr>
          <m:jc m:val="center"/>
        </m:oMathParaPr>
        <m:oMath>
          <m:sSubSup>
            <m:e>
              <m:r>
                <m:t>c</m:t>
              </m:r>
            </m:e>
            <m:sub>
              <m:r>
                <m:rPr>
                  <m:nor/>
                  <m:sty m:val="p"/>
                </m:rPr>
                <m:t>start</m:t>
              </m:r>
            </m:sub>
            <m:sup>
              <m:r>
                <m:t>S</m:t>
              </m:r>
            </m:sup>
          </m:sSubSup>
          <m:r>
            <m:rPr>
              <m:sty m:val="p"/>
            </m:rPr>
            <m:t>=</m:t>
          </m:r>
          <m:sSub>
            <m:e>
              <m:r>
                <m:t>ρ</m:t>
              </m:r>
            </m:e>
            <m:sub>
              <m:r>
                <m:t>S</m:t>
              </m:r>
            </m:sub>
          </m:sSub>
          <m:r>
            <m:t> </m:t>
          </m:r>
          <m:sSubSup>
            <m:e>
              <m:r>
                <m:t>c</m:t>
              </m:r>
            </m:e>
            <m:sub>
              <m:r>
                <m:t>N</m:t>
              </m:r>
            </m:sub>
            <m:sup>
              <m:r>
                <m:t>S</m:t>
              </m:r>
            </m:sup>
          </m:sSubSup>
          <m:r>
            <m:rPr>
              <m:sty m:val="p"/>
            </m:rPr>
            <m:t>+</m:t>
          </m:r>
          <m:sSub>
            <m:e>
              <m:r>
                <m:t>β</m:t>
              </m:r>
            </m:e>
            <m:sub>
              <m:r>
                <m:t>s</m:t>
              </m:r>
              <m:r>
                <m:t>t</m:t>
              </m:r>
              <m:r>
                <m:t>a</m:t>
              </m:r>
              <m:r>
                <m:t>r</m:t>
              </m:r>
              <m:r>
                <m:t>t</m:t>
              </m:r>
            </m:sub>
          </m:sSub>
          <m:r>
            <m:t> </m:t>
          </m:r>
          <m:sSubSup>
            <m:e>
              <m:r>
                <m:t>c</m:t>
              </m:r>
            </m:e>
            <m:sub>
              <m:r>
                <m:t>0</m:t>
              </m:r>
            </m:sub>
            <m:sup>
              <m:r>
                <m:t>S</m:t>
              </m:r>
            </m:sup>
          </m:sSubSup>
        </m:oMath>
      </m:oMathPara>
    </w:p>
    <w:p>
      <w:pPr>
        <w:pStyle w:val="FirstParagraph"/>
      </w:pPr>
      <w:r>
        <w:t xml:space="preserve">Here,</w:t>
      </w:r>
      <w:r>
        <w:t xml:space="preserve"> </w:t>
      </w:r>
      <m:oMath>
        <m:sSub>
          <m:e>
            <m:r>
              <m:t>β</m:t>
            </m:r>
          </m:e>
          <m:sub>
            <m:r>
              <m:t>s</m:t>
            </m:r>
            <m:r>
              <m:t>t</m:t>
            </m:r>
            <m:r>
              <m:t>a</m:t>
            </m:r>
            <m:r>
              <m:t>r</m:t>
            </m:r>
            <m:r>
              <m:t>t</m:t>
            </m:r>
          </m:sub>
        </m:sSub>
      </m:oMath>
      <w:r>
        <w:t xml:space="preserve"> </w:t>
      </w:r>
      <w:r>
        <w:t xml:space="preserve">controls how much start-of-list context is reinstated at retrieval onset.</w:t>
      </w:r>
      <w:r>
        <w:t xml:space="preserve"> </w:t>
      </w:r>
      <w:r>
        <w:t xml:space="preserve">The current temporal and source contexts then cue all recallable items through</w:t>
      </w:r>
      <w:r>
        <w:t xml:space="preserve"> </w:t>
      </w:r>
      <m:oMath>
        <m:sSup>
          <m:e>
            <m:r>
              <m:t>M</m:t>
            </m:r>
          </m:e>
          <m:sup>
            <m:r>
              <m:t>C</m:t>
            </m:r>
            <m:r>
              <m:t>F</m:t>
            </m:r>
            <m:r>
              <m:rPr>
                <m:sty m:val="p"/>
              </m:rPr>
              <m:t>,</m:t>
            </m:r>
            <m:r>
              <m:t>T</m:t>
            </m:r>
          </m:sup>
        </m:sSup>
      </m:oMath>
      <w:r>
        <w:t xml:space="preserve"> </w:t>
      </w:r>
      <w:r>
        <w:t xml:space="preserve">and</w:t>
      </w:r>
      <w:r>
        <w:t xml:space="preserve"> </w:t>
      </w:r>
      <m:oMath>
        <m:sSup>
          <m:e>
            <m:r>
              <m:t>M</m:t>
            </m:r>
          </m:e>
          <m:sup>
            <m:r>
              <m:t>C</m:t>
            </m:r>
            <m:r>
              <m:t>F</m:t>
            </m:r>
            <m:r>
              <m:rPr>
                <m:sty m:val="p"/>
              </m:rPr>
              <m:t>,</m:t>
            </m:r>
            <m:r>
              <m:t>S</m:t>
            </m:r>
          </m:sup>
        </m:sSup>
      </m:oMath>
      <w:r>
        <w:t xml:space="preserve">:</w:t>
      </w:r>
    </w:p>
    <w:p>
      <w:pPr>
        <w:pStyle w:val="BodyText"/>
      </w:pPr>
      <m:oMathPara>
        <m:oMathParaPr>
          <m:jc m:val="center"/>
        </m:oMathParaPr>
        <m:oMath>
          <m:sSubSup>
            <m:e>
              <m:r>
                <m:t>a</m:t>
              </m:r>
            </m:e>
            <m:sub>
              <m:r>
                <m:t>i</m:t>
              </m:r>
            </m:sub>
            <m:sup>
              <m:r>
                <m:t>T</m:t>
              </m:r>
            </m:sup>
          </m:sSubSup>
          <m:r>
            <m:rPr>
              <m:sty m:val="p"/>
            </m:rPr>
            <m:t>=</m:t>
          </m:r>
          <m:sSub>
            <m:e>
              <m:d>
                <m:dPr>
                  <m:begChr m:val="["/>
                  <m:sepChr m:val=""/>
                  <m:endChr m:val="]"/>
                  <m:grow/>
                </m:dPr>
                <m:e>
                  <m:sSup>
                    <m:e>
                      <m:r>
                        <m:t>M</m:t>
                      </m:r>
                    </m:e>
                    <m:sup>
                      <m:r>
                        <m:t>C</m:t>
                      </m:r>
                      <m:r>
                        <m:t>F</m:t>
                      </m:r>
                      <m:r>
                        <m:rPr>
                          <m:sty m:val="p"/>
                        </m:rPr>
                        <m:t>,</m:t>
                      </m:r>
                      <m:r>
                        <m:t>T</m:t>
                      </m:r>
                    </m:sup>
                  </m:sSup>
                  <m:sSup>
                    <m:e>
                      <m:r>
                        <m:t>c</m:t>
                      </m:r>
                    </m:e>
                    <m:sup>
                      <m:r>
                        <m:t>T</m:t>
                      </m:r>
                    </m:sup>
                  </m:sSup>
                </m:e>
              </m:d>
            </m:e>
            <m:sub>
              <m:r>
                <m:t>i</m:t>
              </m:r>
            </m:sub>
          </m:sSub>
          <m:sSub>
            <m:e>
              <m:r>
                <m:t>r</m:t>
              </m:r>
            </m:e>
            <m:sub>
              <m:r>
                <m:t>i</m:t>
              </m:r>
            </m:sub>
          </m:sSub>
        </m:oMath>
      </m:oMathPara>
    </w:p>
    <w:p>
      <w:pPr>
        <w:pStyle w:val="FirstParagraph"/>
      </w:pPr>
      <m:oMathPara>
        <m:oMathParaPr>
          <m:jc m:val="center"/>
        </m:oMathParaPr>
        <m:oMath>
          <m:sSubSup>
            <m:e>
              <m:r>
                <m:t>a</m:t>
              </m:r>
            </m:e>
            <m:sub>
              <m:r>
                <m:t>i</m:t>
              </m:r>
            </m:sub>
            <m:sup>
              <m:r>
                <m:t>S</m:t>
              </m:r>
            </m:sup>
          </m:sSubSup>
          <m:r>
            <m:rPr>
              <m:sty m:val="p"/>
            </m:rPr>
            <m:t>=</m:t>
          </m:r>
          <m:sSub>
            <m:e>
              <m:d>
                <m:dPr>
                  <m:begChr m:val="["/>
                  <m:sepChr m:val=""/>
                  <m:endChr m:val="]"/>
                  <m:grow/>
                </m:dPr>
                <m:e>
                  <m:sSup>
                    <m:e>
                      <m:r>
                        <m:t>M</m:t>
                      </m:r>
                    </m:e>
                    <m:sup>
                      <m:r>
                        <m:t>C</m:t>
                      </m:r>
                      <m:r>
                        <m:t>F</m:t>
                      </m:r>
                      <m:r>
                        <m:rPr>
                          <m:sty m:val="p"/>
                        </m:rPr>
                        <m:t>,</m:t>
                      </m:r>
                      <m:r>
                        <m:t>S</m:t>
                      </m:r>
                    </m:sup>
                  </m:sSup>
                  <m:sSup>
                    <m:e>
                      <m:r>
                        <m:t>c</m:t>
                      </m:r>
                    </m:e>
                    <m:sup>
                      <m:r>
                        <m:t>S</m:t>
                      </m:r>
                    </m:sup>
                  </m:sSup>
                </m:e>
              </m:d>
            </m:e>
            <m:sub>
              <m:r>
                <m:t>i</m:t>
              </m:r>
            </m:sub>
          </m:sSub>
          <m:sSub>
            <m:e>
              <m:r>
                <m:t>r</m:t>
              </m:r>
            </m:e>
            <m:sub>
              <m:r>
                <m:t>i</m:t>
              </m:r>
            </m:sub>
          </m:sSub>
        </m:oMath>
      </m:oMathPara>
    </w:p>
    <w:p>
      <w:pPr>
        <w:pStyle w:val="FirstParagraph"/>
      </w:pPr>
      <m:oMathPara>
        <m:oMathParaPr>
          <m:jc m:val="center"/>
        </m:oMathParaPr>
        <m:oMath>
          <m:sSub>
            <m:e>
              <m:r>
                <m:t>a</m:t>
              </m:r>
            </m:e>
            <m:sub>
              <m:r>
                <m:t>i</m:t>
              </m:r>
            </m:sub>
          </m:sSub>
          <m:r>
            <m:rPr>
              <m:sty m:val="p"/>
            </m:rPr>
            <m:t>=</m:t>
          </m:r>
          <m:sSubSup>
            <m:e>
              <m:r>
                <m:t>a</m:t>
              </m:r>
            </m:e>
            <m:sub>
              <m:r>
                <m:t>i</m:t>
              </m:r>
            </m:sub>
            <m:sup>
              <m:r>
                <m:t>T</m:t>
              </m:r>
            </m:sup>
          </m:sSubSup>
          <m:r>
            <m:rPr>
              <m:sty m:val="p"/>
            </m:rPr>
            <m:t>+</m:t>
          </m:r>
          <m:sSubSup>
            <m:e>
              <m:r>
                <m:t>a</m:t>
              </m:r>
            </m:e>
            <m:sub>
              <m:r>
                <m:t>i</m:t>
              </m:r>
            </m:sub>
            <m:sup>
              <m:r>
                <m:t>S</m:t>
              </m:r>
            </m:sup>
          </m:sSubSup>
        </m:oMath>
      </m:oMathPara>
    </w:p>
    <w:p>
      <w:pPr>
        <w:pStyle w:val="FirstParagraph"/>
      </w:pPr>
      <w:r>
        <w:t xml:space="preserve">Here,</w:t>
      </w:r>
      <w:r>
        <w:t xml:space="preserve"> </w:t>
      </w:r>
      <m:oMath>
        <m:sSub>
          <m:e>
            <m:r>
              <m:t>r</m:t>
            </m:r>
          </m:e>
          <m:sub>
            <m:r>
              <m:t>i</m:t>
            </m:r>
          </m:sub>
        </m:sSub>
      </m:oMath>
      <w:r>
        <w:t xml:space="preserve"> </w:t>
      </w:r>
      <w:r>
        <w:t xml:space="preserve">is a binary mask indicating whether item</w:t>
      </w:r>
      <w:r>
        <w:t xml:space="preserve"> </w:t>
      </w:r>
      <m:oMath>
        <m:r>
          <m:t>i</m:t>
        </m:r>
      </m:oMath>
      <w:r>
        <w:t xml:space="preserve"> </w:t>
      </w:r>
      <w:r>
        <w:t xml:space="preserve">is currently recallable.</w:t>
      </w:r>
      <w:r>
        <w:t xml:space="preserve"> </w:t>
      </w:r>
      <w:r>
        <w:t xml:space="preserve">Because all recallable items contribute to the denominator, encoding additional competitors in contextually similar states dilutes each film item’s share of retrieval probability.</w:t>
      </w:r>
      <w:r>
        <w:t xml:space="preserve"> </w:t>
      </w:r>
      <w:r>
        <w:t xml:space="preserve">The choice sensitivity</w:t>
      </w:r>
      <w:r>
        <w:t xml:space="preserve"> </w:t>
      </w:r>
      <m:oMath>
        <m:r>
          <m:t>τ</m:t>
        </m:r>
      </m:oMath>
      <w:r>
        <w:t xml:space="preserve"> </w:t>
      </w:r>
      <w:r>
        <w:t xml:space="preserve">power-scales the combined activation vector, with a small lower bound</w:t>
      </w:r>
      <w:r>
        <w:t xml:space="preserve"> </w:t>
      </w:r>
      <m:oMath>
        <m:r>
          <m:t>ϵ</m:t>
        </m:r>
      </m:oMath>
      <w:r>
        <w:t xml:space="preserve"> </w:t>
      </w:r>
      <w:r>
        <w:t xml:space="preserve">applied for numerical stability:</w:t>
      </w:r>
    </w:p>
    <w:p>
      <w:pPr>
        <w:pStyle w:val="BodyText"/>
      </w:pPr>
      <m:oMathPara>
        <m:oMathParaPr>
          <m:jc m:val="center"/>
        </m:oMathParaPr>
        <m:oMath>
          <m:sSub>
            <m:e>
              <m:r>
                <m:t>A</m:t>
              </m:r>
            </m:e>
            <m:sub>
              <m:r>
                <m:t>i</m:t>
              </m:r>
            </m:sub>
          </m:sSub>
          <m:r>
            <m:rPr>
              <m:sty m:val="p"/>
            </m:rPr>
            <m:t>=</m:t>
          </m:r>
          <m:d>
            <m:dPr>
              <m:begChr m:val="("/>
              <m:sepChr m:val=""/>
              <m:endChr m:val=")"/>
              <m:grow/>
            </m:dPr>
            <m:e>
              <m:sSubSup>
                <m:e>
                  <m:r>
                    <m:t>a</m:t>
                  </m:r>
                </m:e>
                <m:sub>
                  <m:r>
                    <m:t>i</m:t>
                  </m:r>
                </m:sub>
                <m:sup>
                  <m:r>
                    <m:t>τ</m:t>
                  </m:r>
                </m:sup>
              </m:sSubSup>
              <m:r>
                <m:rPr>
                  <m:sty m:val="p"/>
                </m:rPr>
                <m:t>+</m:t>
              </m:r>
              <m:r>
                <m:t>ϵ</m:t>
              </m:r>
            </m:e>
          </m:d>
          <m:sSub>
            <m:e>
              <m:r>
                <m:t>r</m:t>
              </m:r>
            </m:e>
            <m:sub>
              <m:r>
                <m:t>i</m:t>
              </m:r>
            </m:sub>
          </m:sSub>
        </m:oMath>
      </m:oMathPara>
    </w:p>
    <w:p>
      <w:pPr>
        <w:pStyle w:val="FirstParagraph"/>
      </w:pPr>
      <w:r>
        <w:t xml:space="preserve">The probability of recalling item</w:t>
      </w:r>
      <w:r>
        <w:t xml:space="preserve"> </w:t>
      </w:r>
      <m:oMath>
        <m:r>
          <m:t>i</m:t>
        </m:r>
      </m:oMath>
      <w:r>
        <w:t xml:space="preserve"> </w:t>
      </w:r>
      <w:r>
        <w:t xml:space="preserve">then follows a Luce choice rule:</w:t>
      </w:r>
    </w:p>
    <w:p>
      <w:pPr>
        <w:pStyle w:val="BodyText"/>
      </w:pPr>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oMath>
      </m:oMathPara>
    </w:p>
    <w:p>
      <w:pPr>
        <w:pStyle w:val="FirstParagraph"/>
      </w:pPr>
      <w:r>
        <w:t xml:space="preserve">At each retrieval step, the model may terminate with probability</w:t>
      </w:r>
      <w:r>
        <w:t xml:space="preserve"> </w:t>
      </w:r>
      <m:oMath>
        <m:sSub>
          <m:e>
            <m:r>
              <m:t>p</m:t>
            </m:r>
          </m:e>
          <m:sub>
            <m:r>
              <m:rPr>
                <m:nor/>
                <m:sty m:val="p"/>
              </m:rPr>
              <m:t>stop</m:t>
            </m:r>
          </m:sub>
        </m:sSub>
      </m:oMath>
      <w:r>
        <w:t xml:space="preserve"> </w:t>
      </w:r>
      <w:r>
        <w:t xml:space="preserve">or recall an item with probability</w:t>
      </w:r>
      <w:r>
        <w:t xml:space="preserve"> </w:t>
      </w:r>
      <m:oMath>
        <m:d>
          <m:dPr>
            <m:begChr m:val="("/>
            <m:sepChr m:val=""/>
            <m:endChr m:val=")"/>
            <m:grow/>
          </m:dPr>
          <m:e>
            <m:r>
              <m:t>1</m:t>
            </m:r>
            <m:r>
              <m:rPr>
                <m:sty m:val="p"/>
              </m:rPr>
              <m:t>−</m:t>
            </m:r>
            <m:sSub>
              <m:e>
                <m:r>
                  <m:t>p</m:t>
                </m:r>
              </m:e>
              <m:sub>
                <m:r>
                  <m:rPr>
                    <m:nor/>
                    <m:sty m:val="p"/>
                  </m:rPr>
                  <m:t>stop</m:t>
                </m:r>
              </m:sub>
            </m:sSub>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recall position:</w:t>
      </w:r>
    </w:p>
    <w:p>
      <w:pPr>
        <w:pStyle w:val="BodyText"/>
      </w:pPr>
      <m:oMathPara>
        <m:oMathParaPr>
          <m:jc m:val="center"/>
        </m:oMathParaPr>
        <m:oMath>
          <m:sSub>
            <m:e>
              <m:r>
                <m:t>p</m:t>
              </m:r>
            </m:e>
            <m:sub>
              <m:r>
                <m:rPr>
                  <m:nor/>
                  <m:sty m:val="p"/>
                </m:rPr>
                <m:t>stop</m:t>
              </m:r>
            </m:sub>
          </m:sSub>
          <m:d>
            <m:dPr>
              <m:begChr m:val="("/>
              <m:sepChr m:val=""/>
              <m:endChr m:val=")"/>
              <m:grow/>
            </m:dPr>
            <m:e>
              <m:r>
                <m:t>j</m:t>
              </m:r>
            </m:e>
          </m:d>
          <m:r>
            <m:rPr>
              <m:sty m:val="p"/>
            </m:rPr>
            <m:t>=</m:t>
          </m:r>
          <m:sSub>
            <m:e>
              <m:r>
                <m:t>θ</m:t>
              </m:r>
            </m:e>
            <m:sub>
              <m:r>
                <m:t>s</m:t>
              </m:r>
            </m:sub>
          </m:sSub>
          <m:r>
            <m:t> </m:t>
          </m:r>
          <m:sSup>
            <m:e>
              <m:r>
                <m:t>e</m:t>
              </m:r>
            </m:e>
            <m:sup>
              <m:sSub>
                <m:e>
                  <m:r>
                    <m:t>θ</m:t>
                  </m:r>
                </m:e>
                <m:sub>
                  <m:r>
                    <m:t>r</m:t>
                  </m:r>
                </m:sub>
              </m:sSub>
              <m:r>
                <m:rPr>
                  <m:sty m:val="p"/>
                </m:rPr>
                <m:t>⋅</m:t>
              </m:r>
              <m:r>
                <m:t>j</m:t>
              </m:r>
            </m:sup>
          </m:sSup>
        </m:oMath>
      </m:oMathPara>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When an item is recalled, both context streams reinstate its associated context:</w:t>
      </w:r>
    </w:p>
    <w:p>
      <w:pPr>
        <w:pStyle w:val="BodyText"/>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κ</m:t>
              </m:r>
            </m:e>
            <m:sub>
              <m:r>
                <m:t>i</m:t>
              </m:r>
            </m:sub>
          </m:sSub>
          <m:sSub>
            <m:e>
              <m:r>
                <m:t>β</m:t>
              </m:r>
            </m:e>
            <m:sub>
              <m:r>
                <m:t>r</m:t>
              </m:r>
              <m:r>
                <m:t>e</m:t>
              </m:r>
              <m:r>
                <m:t>c</m:t>
              </m:r>
            </m:sub>
          </m:sSub>
          <m:r>
            <m:t> </m:t>
          </m:r>
          <m:sSup>
            <m:e>
              <m:r>
                <m:t>M</m:t>
              </m:r>
            </m:e>
            <m:sup>
              <m:r>
                <m:t>F</m:t>
              </m:r>
              <m:r>
                <m:t>C</m:t>
              </m:r>
              <m:r>
                <m:rPr>
                  <m:sty m:val="p"/>
                </m:rPr>
                <m:t>,</m:t>
              </m:r>
              <m:r>
                <m:t>T</m:t>
              </m:r>
            </m:sup>
          </m:sSup>
          <m:sSub>
            <m:e>
              <m:r>
                <m:t>f</m:t>
              </m:r>
            </m:e>
            <m:sub>
              <m:r>
                <m:t>i</m:t>
              </m:r>
            </m:sub>
          </m:sSub>
        </m:oMath>
      </m:oMathPara>
    </w:p>
    <w:p>
      <w:pPr>
        <w:pStyle w:val="FirstParagraph"/>
      </w:pPr>
      <m:oMathPara>
        <m:oMathParaPr>
          <m:jc m:val="center"/>
        </m:oMathParaPr>
        <m:oMath>
          <m:sSup>
            <m:e>
              <m:r>
                <m:t>c</m:t>
              </m:r>
            </m:e>
            <m:sup>
              <m:r>
                <m:t>S</m:t>
              </m:r>
            </m:sup>
          </m:sSup>
          <m:r>
            <m:rPr>
              <m:sty m:val="p"/>
            </m:rPr>
            <m:t>←</m:t>
          </m:r>
          <m:sSub>
            <m:e>
              <m:r>
                <m:t>ρ</m:t>
              </m:r>
            </m:e>
            <m:sub>
              <m:r>
                <m:t>S</m:t>
              </m:r>
            </m:sub>
          </m:sSub>
          <m:r>
            <m:t> </m:t>
          </m:r>
          <m:sSup>
            <m:e>
              <m:r>
                <m:t>c</m:t>
              </m:r>
            </m:e>
            <m:sup>
              <m:r>
                <m:t>S</m:t>
              </m:r>
            </m:sup>
          </m:sSup>
          <m:r>
            <m:rPr>
              <m:sty m:val="p"/>
            </m:rPr>
            <m:t>+</m:t>
          </m:r>
          <m:sSub>
            <m:e>
              <m:r>
                <m:t>κ</m:t>
              </m:r>
            </m:e>
            <m:sub>
              <m:r>
                <m:t>i</m:t>
              </m:r>
            </m:sub>
          </m:sSub>
          <m:sSubSup>
            <m:e>
              <m:r>
                <m:t>β</m:t>
              </m:r>
            </m:e>
            <m:sub>
              <m:r>
                <m:t>r</m:t>
              </m:r>
              <m:r>
                <m:t>e</m:t>
              </m:r>
              <m:r>
                <m:t>c</m:t>
              </m:r>
            </m:sub>
            <m:sup>
              <m:r>
                <m:t>S</m:t>
              </m:r>
            </m:sup>
          </m:sSubSup>
          <m:r>
            <m:t> </m:t>
          </m:r>
          <m:sSup>
            <m:e>
              <m:r>
                <m:t>M</m:t>
              </m:r>
            </m:e>
            <m:sup>
              <m:r>
                <m:t>F</m:t>
              </m:r>
              <m:r>
                <m:t>C</m:t>
              </m:r>
              <m:r>
                <m:rPr>
                  <m:sty m:val="p"/>
                </m:rPr>
                <m:t>,</m:t>
              </m:r>
              <m:r>
                <m:t>S</m:t>
              </m:r>
            </m:sup>
          </m:sSup>
          <m:sSub>
            <m:e>
              <m:r>
                <m:t>f</m:t>
              </m:r>
            </m:e>
            <m:sub>
              <m:r>
                <m:t>i</m:t>
              </m:r>
            </m:sub>
          </m:sSub>
        </m:oMath>
      </m:oMathPara>
    </w:p>
    <w:p>
      <w:pPr>
        <w:pStyle w:val="FirstParagraph"/>
      </w:pPr>
      <w:r>
        <w:t xml:space="preserve">The target-monitoring scale</w:t>
      </w:r>
      <w:r>
        <w:t xml:space="preserve"> </w:t>
      </w:r>
      <m:oMath>
        <m:sSub>
          <m:e>
            <m:r>
              <m:t>κ</m:t>
            </m:r>
          </m:e>
          <m:sub>
            <m:r>
              <m:t>i</m:t>
            </m:r>
          </m:sub>
        </m:sSub>
      </m:oMath>
      <w:r>
        <w:t xml:space="preserve"> </w:t>
      </w:r>
      <w:r>
        <w:t xml:space="preserve">equals 1 for film items and can be reduced for non-film competitors.</w:t>
      </w:r>
      <w:r>
        <w:t xml:space="preserve"> </w:t>
      </w:r>
      <w:r>
        <w:t xml:space="preserve">This target monitoring setting represents a retrieval policy in which rejected competitors have less influence on the next context state.</w:t>
      </w:r>
      <w:r>
        <w:t xml:space="preserve"> </w:t>
      </w:r>
      <w:r>
        <w:t xml:space="preserve">This reinstatement drives context toward the recalled item’s encoding neighborhood, biasing subsequent retrievals toward temporally and emotionally proximate items.</w:t>
      </w:r>
      <w:r>
        <w:t xml:space="preserve"> </w:t>
      </w:r>
      <w:r>
        <w:t xml:space="preserve">This mechanism produces the temporal organization expected of retrieved-context models.</w:t>
      </w:r>
    </w:p>
    <w:bookmarkEnd w:id="34"/>
    <w:bookmarkStart w:id="35" w:name="retrieval-modes-and-control-settings"/>
    <w:p>
      <w:pPr>
        <w:pStyle w:val="Heading2"/>
      </w:pPr>
      <w:r>
        <w:t xml:space="preserve">Retrieval Modes and Control Settings</w:t>
      </w:r>
    </w:p>
    <w:p>
      <w:pPr>
        <w:pStyle w:val="FirstParagraph"/>
      </w:pPr>
      <w:r>
        <w:t xml:space="preserve">The simulations vary retrieval mode and film-directed control settings without changing the stored film and task episodes.</w:t>
      </w:r>
      <w:r>
        <w:t xml:space="preserve"> </w:t>
      </w:r>
      <w:r>
        <w:t xml:space="preserve">Intrusion-like retrieval is modeled as relatively broad context-to-item sampling from the current retrieval context.</w:t>
      </w:r>
      <w:r>
        <w:t xml:space="preserve"> </w:t>
      </w:r>
      <w:r>
        <w:t xml:space="preserve">Deliberate recall uses the same context-to-item pathway, but with stronger film-directed start reinstatement, sharper selection among candidates, and optionally reduced context updating after rejected non-film competitors.</w:t>
      </w:r>
      <w:r>
        <w:t xml:space="preserve"> </w:t>
      </w:r>
      <w:r>
        <w:t xml:space="preserve">These settings do not create a separate voluntary-memory store; they change the retrieval state and selection policy applied to the same item-context associations.</w:t>
      </w:r>
    </w:p>
    <w:p>
      <w:pPr>
        <w:pStyle w:val="BodyText"/>
      </w:pPr>
      <w:r>
        <w:t xml:space="preserve">Probe-driven access uses the item-to-context pathway to reduce reliance on broad context-to-item search.</w:t>
      </w:r>
      <w:r>
        <w:t xml:space="preserve"> </w:t>
      </w:r>
      <w:r>
        <w:t xml:space="preserve">When a test supplies a film item, that item can retrieve its own associated context through item-to-context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r>
                <m:rPr>
                  <m:sty m:val="p"/>
                </m:rPr>
                <m:t>,</m:t>
              </m:r>
              <m:r>
                <m:t>T</m:t>
              </m:r>
            </m:sup>
          </m:sSup>
          <m:sSub>
            <m:e>
              <m:r>
                <m:t>f</m:t>
              </m:r>
            </m:e>
            <m:sub>
              <m:r>
                <m:t>i</m:t>
              </m:r>
            </m:sub>
          </m:sSub>
        </m:oMath>
      </m:oMathPara>
    </w:p>
    <w:p>
      <w:pPr>
        <w:pStyle w:val="FirstParagraph"/>
      </w:pPr>
      <w:r>
        <w:t xml:space="preserve">This route supplies more target-specific information than broad context-to-item search.</w:t>
      </w:r>
      <w:r>
        <w:t xml:space="preserve"> </w:t>
      </w:r>
      <w:r>
        <w:t xml:space="preserve">It should therefore be less exposed to competitors encoded near the film context, although the manuscript treats recognition-like access as a probe-driven case to be interpreted alongside the task design rather than as an absolute recognition result.</w:t>
      </w:r>
    </w:p>
    <w:bookmarkEnd w:id="35"/>
    <w:bookmarkStart w:id="37" w:name="parameters-and-simulation-factors"/>
    <w:p>
      <w:pPr>
        <w:pStyle w:val="Heading2"/>
      </w:pPr>
      <w:r>
        <w:t xml:space="preserve">Parameters and Simulation Factors</w:t>
      </w:r>
    </w:p>
    <w:p>
      <w:pPr>
        <w:pStyle w:val="FirstParagraph"/>
      </w:pPr>
      <w:r>
        <w:t xml:space="preserve">The base parameter vector is anchored by external eCMR fits rather than fit to the selective-interference simulations themselves.</w:t>
      </w:r>
      <w:r>
        <w:t xml:space="preserve"> </w:t>
      </w:r>
      <w:r>
        <w:t xml:space="preserve">For these simulations, the anchor is a pooled source-only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selective-interference simulations then manipulate paradigm-level scale factors that determine phase drift, competitor learning, source/emotional overlap, reminder reinstatement, and retrieval control.</w:t>
      </w:r>
      <w:r>
        <w:t xml:space="preserve"> </w:t>
      </w:r>
      <w:r>
        <w:t xml:space="preserve">This separation keeps fitted memory-search parameters distinct from the theoretical manipulations used to create selective interference.</w:t>
      </w:r>
    </w:p>
    <w:p>
      <w:pPr>
        <w:pStyle w:val="BodyText"/>
      </w:pPr>
      <w:hyperlink w:anchor="tbl-scale-factors">
        <w:r>
          <w:rPr>
            <w:rStyle w:val="Hyperlink"/>
          </w:rPr>
          <w:t xml:space="preserve">Table 3</w:t>
        </w:r>
      </w:hyperlink>
      <w:r>
        <w:t xml:space="preserve"> </w:t>
      </w:r>
      <w:r>
        <w:t xml:space="preserve">lists the main scale factors and their theoretical roles.</w:t>
      </w:r>
    </w:p>
    <w:bookmarkStart w:id="36" w:name="tbl-scale-factors"/>
    <w:p>
      <w:pPr>
        <w:pStyle w:val="FigureTitle"/>
      </w:pPr>
      <w:r>
        <w:t xml:space="preserve">Table 3</w:t>
      </w:r>
    </w:p>
    <w:p>
      <w:pPr>
        <w:pStyle w:val="Caption"/>
      </w:pPr>
      <w:r>
        <w:t xml:space="preserve">Scale factors and their simulation connections.</w:t>
      </w:r>
      <w:r>
        <w:t xml:space="preserve"> </w:t>
      </w:r>
      <w:r>
        <w:t xml:space="preserve">Drift scales are clipped to</w:t>
      </w:r>
      <w:r>
        <w:t xml:space="preserve"> </w:t>
      </w:r>
      <m:oMath>
        <m:d>
          <m:dPr>
            <m:begChr m:val="["/>
            <m:sepChr m:val=""/>
            <m:endChr m:val="]"/>
            <m:grow/>
          </m:dPr>
          <m:e>
            <m:r>
              <m:t>0</m:t>
            </m:r>
            <m:r>
              <m:rPr>
                <m:sty m:val="p"/>
              </m:rPr>
              <m:t>,</m:t>
            </m:r>
            <m:r>
              <m:t>1</m:t>
            </m:r>
          </m:e>
        </m:d>
      </m:oMath>
      <w:r>
        <w:t xml:space="preserve"> </w:t>
      </w:r>
      <w:r>
        <w:t xml:space="preserve">after multiplication.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Scale factor</w:t>
            </w:r>
          </w:p>
        </w:tc>
        <w:tc>
          <w:tcPr/>
          <w:p>
            <w:pPr>
              <w:pStyle w:val="Compact"/>
            </w:pPr>
            <w:r>
              <w:t xml:space="preserve">Base parameter or target</w:t>
            </w:r>
          </w:p>
        </w:tc>
        <w:tc>
          <w:tcPr/>
          <w:p>
            <w:pPr>
              <w:pStyle w:val="Compact"/>
            </w:pPr>
            <w:r>
              <w:t xml:space="preserve">Role</w:t>
            </w:r>
          </w:p>
        </w:tc>
        <w:tc>
          <w:tcPr/>
          <w:p>
            <w:pPr>
              <w:pStyle w:val="Compact"/>
            </w:pPr>
            <w:r>
              <w:t xml:space="preserve">Simulation connection</w:t>
            </w:r>
          </w:p>
        </w:tc>
      </w:tr>
      <w:tr>
        <w:tc>
          <w:tcPr/>
          <w:p>
            <w:pPr>
              <w:pStyle w:val="Compact"/>
            </w:pPr>
            <m:oMath>
              <m:sSubSup>
                <m:e>
                  <m:r>
                    <m:t>s</m:t>
                  </m:r>
                </m:e>
                <m:sub>
                  <m:r>
                    <m:rPr>
                      <m:nor/>
                      <m:sty m:val="p"/>
                    </m:rPr>
                    <m:t>break</m:t>
                  </m:r>
                </m:sub>
                <m:sup>
                  <m:r>
                    <m:t>β</m:t>
                  </m:r>
                </m:sup>
              </m:sSubSup>
            </m:oMath>
          </w:p>
        </w:tc>
        <w:tc>
          <w:tcPr/>
          <w:p>
            <w:pPr>
              <w:pStyle w:val="Compact"/>
            </w:pPr>
            <m:oMath>
              <m:sSub>
                <m:e>
                  <m:r>
                    <m:t>β</m:t>
                  </m:r>
                </m:e>
                <m:sub>
                  <m:r>
                    <m:t>e</m:t>
                  </m:r>
                  <m:r>
                    <m:t>n</m:t>
                  </m:r>
                  <m:r>
                    <m:t>c</m:t>
                  </m:r>
                </m:sub>
              </m:sSub>
            </m:oMath>
          </w:p>
        </w:tc>
        <w:tc>
          <w:tcPr/>
          <w:p>
            <w:pPr>
              <w:pStyle w:val="Compact"/>
            </w:pPr>
            <w:r>
              <w:t xml:space="preserve">Break-phase drift</w:t>
            </w:r>
          </w:p>
        </w:tc>
        <w:tc>
          <w:tcPr/>
          <w:p>
            <w:pPr>
              <w:pStyle w:val="Compact"/>
            </w:pPr>
            <w:r>
              <w:t xml:space="preserve">Delay and context separation</w:t>
            </w:r>
          </w:p>
        </w:tc>
      </w:tr>
      <w:tr>
        <w:tc>
          <w:tcPr/>
          <w:p>
            <w:pPr>
              <w:pStyle w:val="Compact"/>
            </w:pPr>
            <m:oMath>
              <m:sSubSup>
                <m:e>
                  <m:r>
                    <m:t>s</m:t>
                  </m:r>
                </m:e>
                <m:sub>
                  <m:r>
                    <m:rPr>
                      <m:nor/>
                      <m:sty m:val="p"/>
                    </m:rPr>
                    <m:t>break</m:t>
                  </m:r>
                </m:sub>
                <m:sup>
                  <m:r>
                    <m:t>ϕ</m:t>
                  </m:r>
                </m:sup>
              </m:sSubSup>
            </m:oMath>
          </w:p>
        </w:tc>
        <w:tc>
          <w:tcPr/>
          <w:p>
            <w:pPr>
              <w:pStyle w:val="Compact"/>
            </w:pPr>
            <m:oMath>
              <m:sSub>
                <m:e>
                  <m:r>
                    <m:t>ϕ</m:t>
                  </m:r>
                </m:e>
                <m:sub>
                  <m:r>
                    <m:t>i</m:t>
                  </m:r>
                </m:sub>
              </m:sSub>
            </m:oMath>
          </w:p>
        </w:tc>
        <w:tc>
          <w:tcPr/>
          <w:p>
            <w:pPr>
              <w:pStyle w:val="Compact"/>
            </w:pPr>
            <w:r>
              <w:t xml:space="preserve">Break-phase competitor learning</w:t>
            </w:r>
          </w:p>
        </w:tc>
        <w:tc>
          <w:tcPr/>
          <w:p>
            <w:pPr>
              <w:pStyle w:val="Compact"/>
            </w:pPr>
            <w:r>
              <w:t xml:space="preserve">Break-task control</w:t>
            </w:r>
          </w:p>
        </w:tc>
      </w:tr>
      <w:tr>
        <w:tc>
          <w:tcPr/>
          <w:p>
            <w:pPr>
              <w:pStyle w:val="Compact"/>
            </w:pPr>
            <m:oMath>
              <m:sSubSup>
                <m:e>
                  <m:r>
                    <m:t>s</m:t>
                  </m:r>
                </m:e>
                <m:sub>
                  <m:r>
                    <m:rPr>
                      <m:nor/>
                      <m:sty m:val="p"/>
                    </m:rPr>
                    <m:t>rem,start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Start-state shift before reminder</w:t>
            </w:r>
          </w:p>
        </w:tc>
        <w:tc>
          <w:tcPr/>
          <w:p>
            <w:pPr>
              <w:pStyle w:val="Compact"/>
            </w:pPr>
            <w:r>
              <w:t xml:space="preserve">Reminder reinstatement</w:t>
            </w:r>
          </w:p>
        </w:tc>
      </w:tr>
      <w:tr>
        <w:tc>
          <w:tcPr/>
          <w:p>
            <w:pPr>
              <w:pStyle w:val="Compact"/>
            </w:pPr>
            <m:oMath>
              <m:sSubSup>
                <m:e>
                  <m:r>
                    <m:t>s</m:t>
                  </m:r>
                </m:e>
                <m:sub>
                  <m:r>
                    <m:rPr>
                      <m:nor/>
                      <m:sty m:val="p"/>
                    </m:rPr>
                    <m:t>rem</m:t>
                  </m:r>
                </m:sub>
                <m:sup>
                  <m:r>
                    <m:t>β</m:t>
                  </m:r>
                </m:sup>
              </m:sSubSup>
            </m:oMath>
          </w:p>
        </w:tc>
        <w:tc>
          <w:tcPr/>
          <w:p>
            <w:pPr>
              <w:pStyle w:val="Compact"/>
            </w:pPr>
            <m:oMath>
              <m:sSub>
                <m:e>
                  <m:r>
                    <m:t>β</m:t>
                  </m:r>
                </m:e>
                <m:sub>
                  <m:r>
                    <m:t>e</m:t>
                  </m:r>
                  <m:r>
                    <m:t>n</m:t>
                  </m:r>
                  <m:r>
                    <m:t>c</m:t>
                  </m:r>
                </m:sub>
              </m:sSub>
            </m:oMath>
          </w:p>
        </w:tc>
        <w:tc>
          <w:tcPr/>
          <w:p>
            <w:pPr>
              <w:pStyle w:val="Compact"/>
            </w:pPr>
            <w:r>
              <w:t xml:space="preserve">Film-item reminder drift</w:t>
            </w:r>
          </w:p>
        </w:tc>
        <w:tc>
          <w:tcPr/>
          <w:p>
            <w:pPr>
              <w:pStyle w:val="Compact"/>
            </w:pPr>
            <w:r>
              <w:t xml:space="preserve">Reminder reinstatement</w:t>
            </w:r>
          </w:p>
        </w:tc>
      </w:tr>
      <w:tr>
        <w:tc>
          <w:tcPr/>
          <w:p>
            <w:pPr>
              <w:pStyle w:val="Compact"/>
            </w:pPr>
            <m:oMath>
              <m:sSubSup>
                <m:e>
                  <m:r>
                    <m:t>s</m:t>
                  </m:r>
                </m:e>
                <m:sub>
                  <m:r>
                    <m:rPr>
                      <m:nor/>
                      <m:sty m:val="p"/>
                    </m:rPr>
                    <m:t>int</m:t>
                  </m:r>
                </m:sub>
                <m:sup>
                  <m:r>
                    <m:t>β</m:t>
                  </m:r>
                </m:sup>
              </m:sSubSup>
            </m:oMath>
          </w:p>
        </w:tc>
        <w:tc>
          <w:tcPr/>
          <w:p>
            <w:pPr>
              <w:pStyle w:val="Compact"/>
            </w:pPr>
            <m:oMath>
              <m:sSub>
                <m:e>
                  <m:r>
                    <m:t>β</m:t>
                  </m:r>
                </m:e>
                <m:sub>
                  <m:r>
                    <m:t>e</m:t>
                  </m:r>
                  <m:r>
                    <m:t>n</m:t>
                  </m:r>
                  <m:r>
                    <m:t>c</m:t>
                  </m:r>
                </m:sub>
              </m:sSub>
            </m:oMath>
          </w:p>
        </w:tc>
        <w:tc>
          <w:tcPr/>
          <w:p>
            <w:pPr>
              <w:pStyle w:val="Compact"/>
            </w:pPr>
            <w:r>
              <w:t xml:space="preserve">Interference-phase drift</w:t>
            </w:r>
          </w:p>
        </w:tc>
        <w:tc>
          <w:tcPr/>
          <w:p>
            <w:pPr>
              <w:pStyle w:val="Compact"/>
            </w:pPr>
            <w:r>
              <w:t xml:space="preserve">Target-competitor cue overlap</w:t>
            </w:r>
          </w:p>
        </w:tc>
      </w:tr>
      <w:tr>
        <w:tc>
          <w:tcPr/>
          <w:p>
            <w:pPr>
              <w:pStyle w:val="Compact"/>
            </w:pPr>
            <m:oMath>
              <m:sSubSup>
                <m:e>
                  <m:r>
                    <m:t>s</m:t>
                  </m:r>
                </m:e>
                <m:sub>
                  <m:r>
                    <m:rPr>
                      <m:nor/>
                      <m:sty m:val="p"/>
                    </m:rPr>
                    <m:t>int</m:t>
                  </m:r>
                </m:sub>
                <m:sup>
                  <m:r>
                    <m:t>ϕ</m:t>
                  </m:r>
                </m:sup>
              </m:sSubSup>
            </m:oMath>
          </w:p>
        </w:tc>
        <w:tc>
          <w:tcPr/>
          <w:p>
            <w:pPr>
              <w:pStyle w:val="Compact"/>
            </w:pPr>
            <m:oMath>
              <m:sSub>
                <m:e>
                  <m:r>
                    <m:t>ϕ</m:t>
                  </m:r>
                </m:e>
                <m:sub>
                  <m:r>
                    <m:t>i</m:t>
                  </m:r>
                </m:sub>
              </m:sSub>
            </m:oMath>
          </w:p>
        </w:tc>
        <w:tc>
          <w:tcPr/>
          <w:p>
            <w:pPr>
              <w:pStyle w:val="Compact"/>
            </w:pPr>
            <w:r>
              <w:t xml:space="preserve">Interference-phase MCF learning</w:t>
            </w:r>
          </w:p>
        </w:tc>
        <w:tc>
          <w:tcPr/>
          <w:p>
            <w:pPr>
              <w:pStyle w:val="Compact"/>
            </w:pPr>
            <w:r>
              <w:t xml:space="preserve">Competitor strength</w:t>
            </w:r>
          </w:p>
        </w:tc>
      </w:tr>
      <w:tr>
        <w:tc>
          <w:tcPr/>
          <w:p>
            <w:pPr>
              <w:pStyle w:val="Compact"/>
            </w:pPr>
            <m:oMath>
              <m:sSubSup>
                <m:e>
                  <m:r>
                    <m:t>s</m:t>
                  </m:r>
                </m:e>
                <m:sub>
                  <m:r>
                    <m:rPr>
                      <m:nor/>
                      <m:sty m:val="p"/>
                    </m:rPr>
                    <m:t>fill</m:t>
                  </m:r>
                </m:sub>
                <m:sup>
                  <m:r>
                    <m:t>β</m:t>
                  </m:r>
                </m:sup>
              </m:sSubSup>
            </m:oMath>
          </w:p>
        </w:tc>
        <w:tc>
          <w:tcPr/>
          <w:p>
            <w:pPr>
              <w:pStyle w:val="Compact"/>
            </w:pPr>
            <m:oMath>
              <m:sSub>
                <m:e>
                  <m:r>
                    <m:t>β</m:t>
                  </m:r>
                </m:e>
                <m:sub>
                  <m:r>
                    <m:t>e</m:t>
                  </m:r>
                  <m:r>
                    <m:t>n</m:t>
                  </m:r>
                  <m:r>
                    <m:t>c</m:t>
                  </m:r>
                </m:sub>
              </m:sSub>
            </m:oMath>
          </w:p>
        </w:tc>
        <w:tc>
          <w:tcPr/>
          <w:p>
            <w:pPr>
              <w:pStyle w:val="Compact"/>
            </w:pPr>
            <w:r>
              <w:t xml:space="preserve">Filler-phase drift</w:t>
            </w:r>
          </w:p>
        </w:tc>
        <w:tc>
          <w:tcPr/>
          <w:p>
            <w:pPr>
              <w:pStyle w:val="Compact"/>
            </w:pPr>
            <w:r>
              <w:t xml:space="preserve">Post-interference buffer</w:t>
            </w:r>
          </w:p>
        </w:tc>
      </w:tr>
      <w:tr>
        <w:tc>
          <w:tcPr/>
          <w:p>
            <w:pPr>
              <w:pStyle w:val="Compact"/>
            </w:pPr>
            <m:oMath>
              <m:sSubSup>
                <m:e>
                  <m:r>
                    <m:t>s</m:t>
                  </m:r>
                </m:e>
                <m:sub>
                  <m:r>
                    <m:rPr>
                      <m:nor/>
                      <m:sty m:val="p"/>
                    </m:rPr>
                    <m:t>fill</m:t>
                  </m:r>
                </m:sub>
                <m:sup>
                  <m:r>
                    <m:t>ϕ</m:t>
                  </m:r>
                </m:sup>
              </m:sSubSup>
            </m:oMath>
          </w:p>
        </w:tc>
        <w:tc>
          <w:tcPr/>
          <w:p>
            <w:pPr>
              <w:pStyle w:val="Compact"/>
            </w:pPr>
            <m:oMath>
              <m:sSub>
                <m:e>
                  <m:r>
                    <m:t>ϕ</m:t>
                  </m:r>
                </m:e>
                <m:sub>
                  <m:r>
                    <m:t>i</m:t>
                  </m:r>
                </m:sub>
              </m:sSub>
            </m:oMath>
          </w:p>
        </w:tc>
        <w:tc>
          <w:tcPr/>
          <w:p>
            <w:pPr>
              <w:pStyle w:val="Compact"/>
            </w:pPr>
            <w:r>
              <w:t xml:space="preserve">Filler-phase MCF learning</w:t>
            </w:r>
          </w:p>
        </w:tc>
        <w:tc>
          <w:tcPr/>
          <w:p>
            <w:pPr>
              <w:pStyle w:val="Compact"/>
            </w:pPr>
            <w:r>
              <w:t xml:space="preserve">Filler-task control</w:t>
            </w:r>
          </w:p>
        </w:tc>
      </w:tr>
      <w:tr>
        <w:tc>
          <w:tcPr/>
          <w:p>
            <w:pPr>
              <w:pStyle w:val="Compact"/>
            </w:pPr>
            <m:oMath>
              <m:sSubSup>
                <m:e>
                  <m:r>
                    <m:t>s</m:t>
                  </m:r>
                </m:e>
                <m:sub>
                  <m:r>
                    <m:rPr>
                      <m:nor/>
                      <m:sty m:val="p"/>
                    </m:rPr>
                    <m:t>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Retrieval start reinstatement</w:t>
            </w:r>
          </w:p>
        </w:tc>
        <w:tc>
          <w:tcPr/>
          <w:p>
            <w:pPr>
              <w:pStyle w:val="Compact"/>
            </w:pPr>
            <w:r>
              <w:t xml:space="preserve">Film-directed recall control</w:t>
            </w:r>
          </w:p>
        </w:tc>
      </w:tr>
      <w:tr>
        <w:tc>
          <w:tcPr/>
          <w:p>
            <w:pPr>
              <w:pStyle w:val="Compact"/>
            </w:pPr>
            <m:oMath>
              <m:sSup>
                <m:e>
                  <m:r>
                    <m:t>s</m:t>
                  </m:r>
                </m:e>
                <m:sup>
                  <m:r>
                    <m:t>τ</m:t>
                  </m:r>
                </m:sup>
              </m:sSup>
            </m:oMath>
          </w:p>
        </w:tc>
        <w:tc>
          <w:tcPr/>
          <w:p>
            <w:pPr>
              <w:pStyle w:val="Compact"/>
            </w:pPr>
            <m:oMath>
              <m:r>
                <m:t>τ</m:t>
              </m:r>
            </m:oMath>
          </w:p>
        </w:tc>
        <w:tc>
          <w:tcPr/>
          <w:p>
            <w:pPr>
              <w:pStyle w:val="Compact"/>
            </w:pPr>
            <w:r>
              <w:t xml:space="preserve">Retrieval selection sharpness</w:t>
            </w:r>
          </w:p>
        </w:tc>
        <w:tc>
          <w:tcPr/>
          <w:p>
            <w:pPr>
              <w:pStyle w:val="Compact"/>
            </w:pPr>
            <w:r>
              <w:t xml:space="preserve">Recall control</w:t>
            </w:r>
          </w:p>
        </w:tc>
      </w:tr>
      <w:tr>
        <w:tc>
          <w:tcPr/>
          <w:p>
            <w:pPr>
              <w:pStyle w:val="Compact"/>
            </w:pPr>
            <m:oMath>
              <m:sSub>
                <m:e>
                  <m:r>
                    <m:t>ω</m:t>
                  </m:r>
                </m:e>
                <m:sub>
                  <m:r>
                    <m:t>S</m:t>
                  </m:r>
                </m:sub>
              </m:sSub>
            </m:oMath>
          </w:p>
        </w:tc>
        <w:tc>
          <w:tcPr/>
          <w:p>
            <w:pPr>
              <w:pStyle w:val="Compact"/>
            </w:pPr>
            <w:r>
              <w:t xml:space="preserve">source MCF learning</w:t>
            </w:r>
          </w:p>
        </w:tc>
        <w:tc>
          <w:tcPr/>
          <w:p>
            <w:pPr>
              <w:pStyle w:val="Compact"/>
            </w:pPr>
            <w:r>
              <w:t xml:space="preserve">Source/emotional learning strength</w:t>
            </w:r>
          </w:p>
        </w:tc>
        <w:tc>
          <w:tcPr/>
          <w:p>
            <w:pPr>
              <w:pStyle w:val="Compact"/>
            </w:pPr>
            <w:r>
              <w:t xml:space="preserve">Source/emotional cue overlap</w:t>
            </w:r>
          </w:p>
        </w:tc>
      </w:tr>
      <w:tr>
        <w:tc>
          <w:tcPr/>
          <w:p>
            <w:pPr>
              <w:pStyle w:val="Compact"/>
            </w:pPr>
            <m:oMath>
              <m:sSubSup>
                <m:e>
                  <m:r>
                    <m:t>s</m:t>
                  </m:r>
                </m:e>
                <m:sub>
                  <m:r>
                    <m:rPr>
                      <m:nor/>
                      <m:sty m:val="p"/>
                    </m:rPr>
                    <m:t>enc</m:t>
                  </m:r>
                </m:sub>
                <m:sup>
                  <m:r>
                    <m:t>β</m:t>
                  </m:r>
                  <m:r>
                    <m:rPr>
                      <m:sty m:val="p"/>
                    </m:rPr>
                    <m:t>,</m:t>
                  </m:r>
                  <m:r>
                    <m:t>S</m:t>
                  </m:r>
                </m:sup>
              </m:sSubSup>
            </m:oMath>
          </w:p>
        </w:tc>
        <w:tc>
          <w:tcPr/>
          <w:p>
            <w:pPr>
              <w:pStyle w:val="Compact"/>
            </w:pPr>
            <m:oMath>
              <m:sSubSup>
                <m:e>
                  <m:r>
                    <m:t>β</m:t>
                  </m:r>
                </m:e>
                <m:sub>
                  <m:r>
                    <m:t>e</m:t>
                  </m:r>
                  <m:r>
                    <m:t>n</m:t>
                  </m:r>
                  <m:r>
                    <m:t>c</m:t>
                  </m:r>
                </m:sub>
                <m:sup>
                  <m:r>
                    <m:t>S</m:t>
                  </m:r>
                </m:sup>
              </m:sSubSup>
            </m:oMath>
          </w:p>
        </w:tc>
        <w:tc>
          <w:tcPr/>
          <w:p>
            <w:pPr>
              <w:pStyle w:val="Compact"/>
            </w:pPr>
            <w:r>
              <w:t xml:space="preserve">Source-context encoding drift</w:t>
            </w:r>
          </w:p>
        </w:tc>
        <w:tc>
          <w:tcPr/>
          <w:p>
            <w:pPr>
              <w:pStyle w:val="Compact"/>
            </w:pPr>
            <w:r>
              <w:t xml:space="preserve">Source/emotional cue overlap</w:t>
            </w:r>
          </w:p>
        </w:tc>
      </w:tr>
      <w:tr>
        <w:tc>
          <w:tcPr/>
          <w:p>
            <w:pPr>
              <w:pStyle w:val="Compact"/>
            </w:pPr>
            <m:oMath>
              <m:sSubSup>
                <m:e>
                  <m:r>
                    <m:t>s</m:t>
                  </m:r>
                </m:e>
                <m:sub>
                  <m:r>
                    <m:rPr>
                      <m:nor/>
                      <m:sty m:val="p"/>
                    </m:rPr>
                    <m:t>rec</m:t>
                  </m:r>
                </m:sub>
                <m:sup>
                  <m:r>
                    <m:t>β</m:t>
                  </m:r>
                  <m:r>
                    <m:rPr>
                      <m:sty m:val="p"/>
                    </m:rPr>
                    <m:t>,</m:t>
                  </m:r>
                  <m:r>
                    <m:t>S</m:t>
                  </m:r>
                </m:sup>
              </m:sSubSup>
            </m:oMath>
          </w:p>
        </w:tc>
        <w:tc>
          <w:tcPr/>
          <w:p>
            <w:pPr>
              <w:pStyle w:val="Compact"/>
            </w:pPr>
            <m:oMath>
              <m:sSubSup>
                <m:e>
                  <m:r>
                    <m:t>β</m:t>
                  </m:r>
                </m:e>
                <m:sub>
                  <m:r>
                    <m:t>r</m:t>
                  </m:r>
                  <m:r>
                    <m:t>e</m:t>
                  </m:r>
                  <m:r>
                    <m:t>c</m:t>
                  </m:r>
                </m:sub>
                <m:sup>
                  <m:r>
                    <m:t>S</m:t>
                  </m:r>
                </m:sup>
              </m:sSubSup>
            </m:oMath>
          </w:p>
        </w:tc>
        <w:tc>
          <w:tcPr/>
          <w:p>
            <w:pPr>
              <w:pStyle w:val="Compact"/>
            </w:pPr>
            <w:r>
              <w:t xml:space="preserve">Source-context recall drift</w:t>
            </w:r>
          </w:p>
        </w:tc>
        <w:tc>
          <w:tcPr/>
          <w:p>
            <w:pPr>
              <w:pStyle w:val="Compact"/>
            </w:pPr>
            <w:r>
              <w:t xml:space="preserve">Source-context reinstatement</w:t>
            </w:r>
          </w:p>
        </w:tc>
      </w:tr>
      <w:tr>
        <w:tc>
          <w:tcPr/>
          <w:p>
            <w:pPr>
              <w:pStyle w:val="Compact"/>
            </w:pPr>
            <m:oMath>
              <m:r>
                <m:t>κ</m:t>
              </m:r>
            </m:oMath>
          </w:p>
        </w:tc>
        <w:tc>
          <w:tcPr/>
          <w:p>
            <w:pPr>
              <w:pStyle w:val="Compact"/>
            </w:pPr>
            <w:r>
              <w:t xml:space="preserve">recall drift after non-targets</w:t>
            </w:r>
          </w:p>
        </w:tc>
        <w:tc>
          <w:tcPr/>
          <w:p>
            <w:pPr>
              <w:pStyle w:val="Compact"/>
            </w:pPr>
            <w:r>
              <w:t xml:space="preserve">Reduced updating after rejected competitors</w:t>
            </w:r>
          </w:p>
        </w:tc>
        <w:tc>
          <w:tcPr/>
          <w:p>
            <w:pPr>
              <w:pStyle w:val="Compact"/>
            </w:pPr>
            <w:r>
              <w:t xml:space="preserve">Target monitoring</w:t>
            </w:r>
          </w:p>
        </w:tc>
      </w:tr>
      <w:tr>
        <w:tc>
          <w:tcPr/>
          <w:p>
            <w:pPr>
              <w:pStyle w:val="Compact"/>
            </w:pPr>
            <m:oMath>
              <m:sSub>
                <m:e>
                  <m:r>
                    <m:t>s</m:t>
                  </m:r>
                </m:e>
                <m:sub>
                  <m:r>
                    <m:t>α</m:t>
                  </m:r>
                </m:sub>
              </m:sSub>
            </m:oMath>
          </w:p>
        </w:tc>
        <w:tc>
          <w:tcPr/>
          <w:p>
            <w:pPr>
              <w:pStyle w:val="Compact"/>
            </w:pPr>
            <m:oMath>
              <m:r>
                <m:t>α</m:t>
              </m:r>
            </m:oMath>
          </w:p>
        </w:tc>
        <w:tc>
          <w:tcPr/>
          <w:p>
            <w:pPr>
              <w:pStyle w:val="Compact"/>
            </w:pPr>
            <w:r>
              <w:t xml:space="preserve">Explicit shared-support scaling</w:t>
            </w:r>
          </w:p>
        </w:tc>
        <w:tc>
          <w:tcPr/>
          <w:p>
            <w:pPr>
              <w:pStyle w:val="Compact"/>
            </w:pPr>
            <w:r>
              <w:t xml:space="preserve">Robustness and diagnostic checks</w:t>
            </w:r>
          </w:p>
        </w:tc>
      </w:tr>
    </w:tbl>
    <w:bookmarkEnd w:id="36"/>
    <w:p>
      <w:pPr>
        <w:pStyle w:val="AfterWithoutNote"/>
      </w:pPr>
      <w:r>
        <w:t xml:space="preserve">The paradigm geometry mirrors trauma-film selective-interference designs at an abstract level.</w:t>
      </w:r>
      <w:r>
        <w:t xml:space="preserve"> </w:t>
      </w:r>
      <w:r>
        <w:t xml:space="preserve">Each simulated trial includes film, optional break, reminder, interference, and filler phases, with phase lengths and phase-specific scaling set by the simulation factors in</w:t>
      </w:r>
      <w:r>
        <w:t xml:space="preserve"> </w:t>
      </w:r>
      <w:hyperlink w:anchor="tbl-scale-factors">
        <w:r>
          <w:rPr>
            <w:rStyle w:val="Hyperlink"/>
          </w:rPr>
          <w:t xml:space="preserve">Table 3</w:t>
        </w:r>
      </w:hyperlink>
      <w:r>
        <w:t xml:space="preserve">.</w:t>
      </w:r>
      <w:r>
        <w:t xml:space="preserve"> </w:t>
      </w:r>
      <w:r>
        <w:t xml:space="preserve">The main simulation outputs track which phase each recalled item came from, how often film items are recalled, and how those quantities change across interference and retrieval-control manipulations.</w:t>
      </w:r>
      <w:r>
        <w:t xml:space="preserve"> </w:t>
      </w:r>
      <w:r>
        <w:t xml:space="preserve">Because retrieval proceeds as a sequence of competitive samples terminated by a growing stop probability, the expected number of film items recalled depends on how much retrieval probability competitors capture at each step.</w:t>
      </w:r>
      <w:r>
        <w:t xml:space="preserve"> </w:t>
      </w:r>
      <w:r>
        <w:t xml:space="preserve">These dependent measures provide a bridge between the model’s formal predictions and the empirical phenomena the simulations target.</w:t>
      </w:r>
    </w:p>
    <w:bookmarkEnd w:id="37"/>
    <w:bookmarkEnd w:id="38"/>
    <w:bookmarkStart w:id="49" w:name="simulations"/>
    <w:p>
      <w:pPr>
        <w:pStyle w:val="Heading1"/>
      </w:pPr>
      <w:r>
        <w:t xml:space="preserve">Simulations</w:t>
      </w:r>
    </w:p>
    <w:p>
      <w:pPr>
        <w:pStyle w:val="FirstParagraph"/>
      </w:pPr>
      <w:r>
        <w:t xml:space="preserve">The first rendered sweep included here orients the reader to the simulated phase structure before the later sections develop the final manuscript contrasts.</w:t>
      </w:r>
      <w:r>
        <w:t xml:space="preserve"> </w:t>
      </w:r>
      <w:r>
        <w:t xml:space="preserve">These plots are diagnostic outputs from the interference-strength sweep, not stand-alone evidence for the full intrusion-voluntary-memory dissociation.</w:t>
      </w:r>
    </w:p>
    <w:bookmarkStart w:id="42" w:name="fig-interference-sweep-spc"/>
    <w:p>
      <w:pPr>
        <w:pStyle w:val="FigureTitle"/>
      </w:pPr>
      <w:r>
        <w:t xml:space="preserve">Figure 2</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context-to-item learning for interference-task items.</w:t>
      </w:r>
      <w:r>
        <w:t xml:space="preserve"> </w:t>
      </w:r>
      <w:r>
        <w:t xml:space="preserve">The figure shows how the interference manipulation changes the distribution of retrieval across encoded phases, rather than only changing total film recall.</w:t>
      </w:r>
    </w:p>
    <w:p>
      <w:pPr>
        <w:pStyle w:val="FigureWithoutNote"/>
      </w:pPr>
      <w:r>
        <w:drawing>
          <wp:inline>
            <wp:extent cx="5943600" cy="2214422"/>
            <wp:effectExtent b="0" l="0" r="0" t="0"/>
            <wp:docPr descr="" title="" id="40" name="Picture"/>
            <a:graphic>
              <a:graphicData uri="http://schemas.openxmlformats.org/drawingml/2006/picture">
                <pic:pic>
                  <pic:nvPicPr>
                    <pic:cNvPr descr="figures/interference_mcf_scale_delay16_fit_no_shared_support_side_by_side_spc.png" id="41" name="Picture"/>
                    <pic:cNvPicPr>
                      <a:picLocks noChangeArrowheads="1" noChangeAspect="1"/>
                    </pic:cNvPicPr>
                  </pic:nvPicPr>
                  <pic:blipFill>
                    <a:blip r:embed="rId39"/>
                    <a:stretch>
                      <a:fillRect/>
                    </a:stretch>
                  </pic:blipFill>
                  <pic:spPr bwMode="auto">
                    <a:xfrm>
                      <a:off x="0" y="0"/>
                      <a:ext cx="5943600" cy="2214422"/>
                    </a:xfrm>
                    <a:prstGeom prst="rect">
                      <a:avLst/>
                    </a:prstGeom>
                    <a:noFill/>
                    <a:ln w="9525">
                      <a:noFill/>
                      <a:headEnd/>
                      <a:tailEnd/>
                    </a:ln>
                  </pic:spPr>
                </pic:pic>
              </a:graphicData>
            </a:graphic>
          </wp:inline>
        </w:drawing>
      </w:r>
    </w:p>
    <w:bookmarkEnd w:id="42"/>
    <w:bookmarkStart w:id="43"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interference condition and retrieval mode.</w:t>
      </w:r>
      <w:r>
        <w:t xml:space="preserve"> </w:t>
      </w:r>
      <w:r>
        <w:t xml:space="preserve">The section asks whether the same stored film episode and the same post-film interference manipulation can produce larger impairment in intrusion-like retrieval than in deliberate recall.</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bookmarkEnd w:id="43"/>
    <w:bookmarkStart w:id="44"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intrusion-like retrieval more closely.</w:t>
      </w:r>
    </w:p>
    <w:bookmarkEnd w:id="44"/>
    <w:bookmarkStart w:id="45" w:name="Xb6ad65f068ff1c87b9d8ef63a15a1d3a2d01552"/>
    <w:p>
      <w:pPr>
        <w:pStyle w:val="Heading2"/>
      </w:pPr>
      <w:r>
        <w:t xml:space="preserve">Simulation 3: Competitor Strength, Contextual Overlap, and Emotional-Context Amplification</w:t>
      </w:r>
    </w:p>
    <w:p>
      <w:pPr>
        <w:pStyle w:val="FirstParagraph"/>
      </w:pPr>
      <w:r>
        <w:t xml:space="preserve">Premise: An interference task becomes effective when it encodes competitors with enough learned support and with associated context states similar enough to film context.</w:t>
      </w:r>
      <w:r>
        <w:t xml:space="preserve"> </w:t>
      </w:r>
      <w:r>
        <w:t xml:space="preserve">This section asks what makes a task Tetris-like in model terms.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matters because competitors are retrievable from film-related context, and shared source/emotional context is relevant only insofar as it increases that competition.</w:t>
      </w:r>
    </w:p>
    <w:bookmarkEnd w:id="45"/>
    <w:bookmarkStart w:id="46"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matters because it reinstates film context before competitor encoding.</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bookmarkEnd w:id="46"/>
    <w:bookmarkStart w:id="47"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bookmarkEnd w:id="47"/>
    <w:bookmarkStart w:id="48" w:name="Xd899c74baf6ef599438daabd3dfd1a19bfff423"/>
    <w:p>
      <w:pPr>
        <w:pStyle w:val="Heading2"/>
      </w:pPr>
      <w:r>
        <w:t xml:space="preserve">Simulation 6: Probe-Driven Access in Recognition-Like Tests</w:t>
      </w:r>
    </w:p>
    <w:p>
      <w:pPr>
        <w:pStyle w:val="FirstParagraph"/>
      </w:pPr>
      <w:r>
        <w:t xml:space="preserve">Premise: Tests that supply a film item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p>
    <w:p>
      <w:pPr>
        <w:pStyle w:val="BodyText"/>
      </w:pPr>
      <w:r>
        <w:t xml:space="preserve">Intended text take-away: This section handles tests that supply a film item and recognition-like measures as a probe-driven access case.</w:t>
      </w:r>
      <w:r>
        <w:t xml:space="preserve"> </w:t>
      </w:r>
      <w:r>
        <w:t xml:space="preserve">The claim is that probe-driven access reduces exposure to contextual competition, not that recognition escapes the mechanism in every design or that all voluntary memory has the same protection.</w:t>
      </w:r>
    </w:p>
    <w:bookmarkEnd w:id="48"/>
    <w:bookmarkEnd w:id="49"/>
    <w:bookmarkStart w:id="50" w:name="general-discussion"/>
    <w:p>
      <w:pPr>
        <w:pStyle w:val="Heading1"/>
      </w:pPr>
      <w:r>
        <w:t xml:space="preserve">General Discussion</w:t>
      </w:r>
    </w:p>
    <w:bookmarkEnd w:id="50"/>
    <w:bookmarkStart w:id="115" w:name="references"/>
    <w:p>
      <w:pPr>
        <w:pStyle w:val="Heading1"/>
      </w:pPr>
      <w:r>
        <w:t xml:space="preserve">References</w:t>
      </w:r>
    </w:p>
    <w:bookmarkStart w:id="114" w:name="refs"/>
    <w:bookmarkStart w:id="52"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51">
        <w:r>
          <w:rPr>
            <w:rStyle w:val="Hyperlink"/>
          </w:rPr>
          <w:t xml:space="preserve">https://doi.org/10.1016/j.jpsychires.2023.01.028</w:t>
        </w:r>
      </w:hyperlink>
    </w:p>
    <w:bookmarkEnd w:id="52"/>
    <w:bookmarkStart w:id="54"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53">
        <w:r>
          <w:rPr>
            <w:rStyle w:val="Hyperlink"/>
          </w:rPr>
          <w:t xml:space="preserve">https://doi.org/10.1037/a0033722</w:t>
        </w:r>
      </w:hyperlink>
    </w:p>
    <w:bookmarkEnd w:id="54"/>
    <w:bookmarkStart w:id="56"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55">
        <w:r>
          <w:rPr>
            <w:rStyle w:val="Hyperlink"/>
          </w:rPr>
          <w:t xml:space="preserve">https://doi.org/10.1037/0033-295X.103.4.670</w:t>
        </w:r>
      </w:hyperlink>
    </w:p>
    <w:bookmarkEnd w:id="56"/>
    <w:bookmarkStart w:id="58"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57">
        <w:r>
          <w:rPr>
            <w:rStyle w:val="Hyperlink"/>
          </w:rPr>
          <w:t xml:space="preserve">https://doi.org/10.1037/a0018113</w:t>
        </w:r>
      </w:hyperlink>
    </w:p>
    <w:bookmarkEnd w:id="58"/>
    <w:bookmarkStart w:id="60"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59">
        <w:r>
          <w:rPr>
            <w:rStyle w:val="Hyperlink"/>
          </w:rPr>
          <w:t xml:space="preserve">https://doi.org/10.1037/rev0000334</w:t>
        </w:r>
      </w:hyperlink>
    </w:p>
    <w:bookmarkEnd w:id="60"/>
    <w:bookmarkStart w:id="62"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61">
        <w:r>
          <w:rPr>
            <w:rStyle w:val="Hyperlink"/>
          </w:rPr>
          <w:t xml:space="preserve">https://doi.org/10.1016/j.jbtep.2011.10.008</w:t>
        </w:r>
      </w:hyperlink>
    </w:p>
    <w:bookmarkEnd w:id="62"/>
    <w:bookmarkStart w:id="63"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63"/>
    <w:bookmarkStart w:id="65"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64">
        <w:r>
          <w:rPr>
            <w:rStyle w:val="Hyperlink"/>
          </w:rPr>
          <w:t xml:space="preserve">https://doi.org/10.1016/S0005-7967(99)00123-0</w:t>
        </w:r>
      </w:hyperlink>
    </w:p>
    <w:bookmarkEnd w:id="65"/>
    <w:bookmarkStart w:id="67"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66">
        <w:r>
          <w:rPr>
            <w:rStyle w:val="Hyperlink"/>
          </w:rPr>
          <w:t xml:space="preserve">https://doi.org/10.1016/j.actpsy.2007.11.002</w:t>
        </w:r>
      </w:hyperlink>
    </w:p>
    <w:bookmarkEnd w:id="67"/>
    <w:bookmarkStart w:id="69"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68">
        <w:r>
          <w:rPr>
            <w:rStyle w:val="Hyperlink"/>
          </w:rPr>
          <w:t xml:space="preserve">https://doi.org/10.1037/0096-3445.133.1.3</w:t>
        </w:r>
      </w:hyperlink>
    </w:p>
    <w:bookmarkEnd w:id="69"/>
    <w:bookmarkStart w:id="71"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70">
        <w:r>
          <w:rPr>
            <w:rStyle w:val="Hyperlink"/>
          </w:rPr>
          <w:t xml:space="preserve">https://doi.org/10.1371/journal.pone.0004153</w:t>
        </w:r>
      </w:hyperlink>
    </w:p>
    <w:bookmarkEnd w:id="71"/>
    <w:bookmarkStart w:id="73"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72">
        <w:r>
          <w:rPr>
            <w:rStyle w:val="Hyperlink"/>
          </w:rPr>
          <w:t xml:space="preserve">https://doi.org/10.1371/journal.pone.0013706</w:t>
        </w:r>
      </w:hyperlink>
    </w:p>
    <w:bookmarkEnd w:id="73"/>
    <w:bookmarkStart w:id="75"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74">
        <w:r>
          <w:rPr>
            <w:rStyle w:val="Hyperlink"/>
          </w:rPr>
          <w:t xml:space="preserve">https://doi.org/10.1016/j.brat.2017.03.018</w:t>
        </w:r>
      </w:hyperlink>
    </w:p>
    <w:bookmarkEnd w:id="75"/>
    <w:bookmarkStart w:id="77"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6">
        <w:r>
          <w:rPr>
            <w:rStyle w:val="Hyperlink"/>
          </w:rPr>
          <w:t xml:space="preserve">https://doi.org/10.1006/jmps.2001.1388</w:t>
        </w:r>
      </w:hyperlink>
    </w:p>
    <w:bookmarkEnd w:id="77"/>
    <w:bookmarkStart w:id="78"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78"/>
    <w:bookmarkStart w:id="80"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79">
        <w:r>
          <w:rPr>
            <w:rStyle w:val="Hyperlink"/>
          </w:rPr>
          <w:t xml:space="preserve">https://doi.org/10.1038/mp.2017.23</w:t>
        </w:r>
      </w:hyperlink>
    </w:p>
    <w:bookmarkEnd w:id="80"/>
    <w:bookmarkStart w:id="8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81">
        <w:r>
          <w:rPr>
            <w:rStyle w:val="Hyperlink"/>
          </w:rPr>
          <w:t xml:space="preserve">https://doi.org/10.1016/j.cpr.2018.08.005</w:t>
        </w:r>
      </w:hyperlink>
    </w:p>
    <w:bookmarkEnd w:id="82"/>
    <w:bookmarkStart w:id="8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83">
        <w:r>
          <w:rPr>
            <w:rStyle w:val="Hyperlink"/>
          </w:rPr>
          <w:t xml:space="preserve">https://doi.org/10.1177/0956797615583071</w:t>
        </w:r>
      </w:hyperlink>
    </w:p>
    <w:bookmarkEnd w:id="84"/>
    <w:bookmarkStart w:id="8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85">
        <w:r>
          <w:rPr>
            <w:rStyle w:val="Hyperlink"/>
          </w:rPr>
          <w:t xml:space="preserve">https://doi.org/10.1016/j.cpr.2016.04.010</w:t>
        </w:r>
      </w:hyperlink>
    </w:p>
    <w:bookmarkEnd w:id="86"/>
    <w:bookmarkStart w:id="8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87"/>
    <w:bookmarkStart w:id="89"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88">
        <w:r>
          <w:rPr>
            <w:rStyle w:val="Hyperlink"/>
          </w:rPr>
          <w:t xml:space="preserve">https://doi.org/10.1002/cpp.2489</w:t>
        </w:r>
      </w:hyperlink>
    </w:p>
    <w:bookmarkEnd w:id="89"/>
    <w:bookmarkStart w:id="91"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90">
        <w:r>
          <w:rPr>
            <w:rStyle w:val="Hyperlink"/>
          </w:rPr>
          <w:t xml:space="preserve">https://doi.org/10.1016/j.jbtep.2019.01.006</w:t>
        </w:r>
      </w:hyperlink>
    </w:p>
    <w:bookmarkEnd w:id="91"/>
    <w:bookmarkStart w:id="93"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92">
        <w:r>
          <w:rPr>
            <w:rStyle w:val="Hyperlink"/>
          </w:rPr>
          <w:t xml:space="preserve">https://doi.org/10.1038/nn.2271</w:t>
        </w:r>
      </w:hyperlink>
    </w:p>
    <w:bookmarkEnd w:id="93"/>
    <w:bookmarkStart w:id="9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94">
        <w:r>
          <w:rPr>
            <w:rStyle w:val="Hyperlink"/>
          </w:rPr>
          <w:t xml:space="preserve">https://doi.org/10.1002/acp.1611</w:t>
        </w:r>
      </w:hyperlink>
    </w:p>
    <w:bookmarkEnd w:id="95"/>
    <w:bookmarkStart w:id="9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96">
        <w:r>
          <w:rPr>
            <w:rStyle w:val="Hyperlink"/>
          </w:rPr>
          <w:t xml:space="preserve">https://doi.org/10.1037/xge0000598</w:t>
        </w:r>
      </w:hyperlink>
    </w:p>
    <w:bookmarkEnd w:id="97"/>
    <w:bookmarkStart w:id="99"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98">
        <w:r>
          <w:rPr>
            <w:rStyle w:val="Hyperlink"/>
          </w:rPr>
          <w:t xml:space="preserve">https://doi.org/10.1037/a0039036</w:t>
        </w:r>
      </w:hyperlink>
    </w:p>
    <w:bookmarkEnd w:id="99"/>
    <w:bookmarkStart w:id="101"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00">
        <w:r>
          <w:rPr>
            <w:rStyle w:val="Hyperlink"/>
          </w:rPr>
          <w:t xml:space="preserve">https://doi.org/10.1037/a0014420</w:t>
        </w:r>
      </w:hyperlink>
    </w:p>
    <w:bookmarkEnd w:id="101"/>
    <w:bookmarkStart w:id="10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02">
        <w:r>
          <w:rPr>
            <w:rStyle w:val="Hyperlink"/>
          </w:rPr>
          <w:t xml:space="preserve">https://doi.org/10.1037/a0013396</w:t>
        </w:r>
      </w:hyperlink>
    </w:p>
    <w:bookmarkEnd w:id="103"/>
    <w:bookmarkStart w:id="105"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04">
        <w:r>
          <w:rPr>
            <w:rStyle w:val="Hyperlink"/>
          </w:rPr>
          <w:t xml:space="preserve">https://doi.org/10.1037/rev0000132</w:t>
        </w:r>
      </w:hyperlink>
    </w:p>
    <w:bookmarkEnd w:id="105"/>
    <w:bookmarkStart w:id="10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06">
        <w:r>
          <w:rPr>
            <w:rStyle w:val="Hyperlink"/>
          </w:rPr>
          <w:t xml:space="preserve">https://doi.org/10.1038/s41562-024-01956-y</w:t>
        </w:r>
      </w:hyperlink>
    </w:p>
    <w:bookmarkEnd w:id="107"/>
    <w:bookmarkStart w:id="10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08">
        <w:r>
          <w:rPr>
            <w:rStyle w:val="Hyperlink"/>
          </w:rPr>
          <w:t xml:space="preserve">https://doi.org/10.1525/collabra.130791</w:t>
        </w:r>
      </w:hyperlink>
    </w:p>
    <w:bookmarkEnd w:id="109"/>
    <w:bookmarkStart w:id="111"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10">
        <w:r>
          <w:rPr>
            <w:rStyle w:val="Hyperlink"/>
          </w:rPr>
          <w:t xml:space="preserve">https://doi.org/10.1038/s41583-019-0150-4</w:t>
        </w:r>
      </w:hyperlink>
    </w:p>
    <w:bookmarkEnd w:id="111"/>
    <w:bookmarkStart w:id="113"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12">
        <w:r>
          <w:rPr>
            <w:rStyle w:val="Hyperlink"/>
          </w:rPr>
          <w:t xml:space="preserve">https://doi.org/10.1037/0278-7393.32.4.792</w:t>
        </w:r>
      </w:hyperlink>
    </w:p>
    <w:bookmarkEnd w:id="113"/>
    <w:bookmarkEnd w:id="114"/>
    <w:bookmarkEnd w:id="11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hyperlink" Id="rId94" Target="https://doi.org/10.1002/acp.1611" TargetMode="External" /><Relationship Type="http://schemas.openxmlformats.org/officeDocument/2006/relationships/hyperlink" Id="rId88" Target="https://doi.org/10.1002/cpp.2489" TargetMode="External" /><Relationship Type="http://schemas.openxmlformats.org/officeDocument/2006/relationships/hyperlink" Id="rId76" Target="https://doi.org/10.1006/jmps.2001.1388" TargetMode="External" /><Relationship Type="http://schemas.openxmlformats.org/officeDocument/2006/relationships/hyperlink" Id="rId64" Target="https://doi.org/10.1016/S0005-7967(99)00123-0" TargetMode="External" /><Relationship Type="http://schemas.openxmlformats.org/officeDocument/2006/relationships/hyperlink" Id="rId66" Target="https://doi.org/10.1016/j.actpsy.2007.11.002" TargetMode="External" /><Relationship Type="http://schemas.openxmlformats.org/officeDocument/2006/relationships/hyperlink" Id="rId74" Target="https://doi.org/10.1016/j.brat.2017.03.018" TargetMode="External" /><Relationship Type="http://schemas.openxmlformats.org/officeDocument/2006/relationships/hyperlink" Id="rId85" Target="https://doi.org/10.1016/j.cpr.2016.04.010" TargetMode="External" /><Relationship Type="http://schemas.openxmlformats.org/officeDocument/2006/relationships/hyperlink" Id="rId81" Target="https://doi.org/10.1016/j.cpr.2018.08.005" TargetMode="External" /><Relationship Type="http://schemas.openxmlformats.org/officeDocument/2006/relationships/hyperlink" Id="rId61" Target="https://doi.org/10.1016/j.jbtep.2011.10.008" TargetMode="External" /><Relationship Type="http://schemas.openxmlformats.org/officeDocument/2006/relationships/hyperlink" Id="rId90" Target="https://doi.org/10.1016/j.jbtep.2019.01.006" TargetMode="External" /><Relationship Type="http://schemas.openxmlformats.org/officeDocument/2006/relationships/hyperlink" Id="rId51" Target="https://doi.org/10.1016/j.jpsychires.2023.01.028" TargetMode="External" /><Relationship Type="http://schemas.openxmlformats.org/officeDocument/2006/relationships/hyperlink" Id="rId55" Target="https://doi.org/10.1037/0033-295X.103.4.670" TargetMode="External" /><Relationship Type="http://schemas.openxmlformats.org/officeDocument/2006/relationships/hyperlink" Id="rId68" Target="https://doi.org/10.1037/0096-3445.133.1.3" TargetMode="External" /><Relationship Type="http://schemas.openxmlformats.org/officeDocument/2006/relationships/hyperlink" Id="rId112" Target="https://doi.org/10.1037/0278-7393.32.4.792" TargetMode="External" /><Relationship Type="http://schemas.openxmlformats.org/officeDocument/2006/relationships/hyperlink" Id="rId102" Target="https://doi.org/10.1037/a0013396" TargetMode="External" /><Relationship Type="http://schemas.openxmlformats.org/officeDocument/2006/relationships/hyperlink" Id="rId100" Target="https://doi.org/10.1037/a0014420" TargetMode="External" /><Relationship Type="http://schemas.openxmlformats.org/officeDocument/2006/relationships/hyperlink" Id="rId57" Target="https://doi.org/10.1037/a0018113" TargetMode="External" /><Relationship Type="http://schemas.openxmlformats.org/officeDocument/2006/relationships/hyperlink" Id="rId53" Target="https://doi.org/10.1037/a0033722" TargetMode="External" /><Relationship Type="http://schemas.openxmlformats.org/officeDocument/2006/relationships/hyperlink" Id="rId98" Target="https://doi.org/10.1037/a0039036" TargetMode="External" /><Relationship Type="http://schemas.openxmlformats.org/officeDocument/2006/relationships/hyperlink" Id="rId104" Target="https://doi.org/10.1037/rev0000132" TargetMode="External" /><Relationship Type="http://schemas.openxmlformats.org/officeDocument/2006/relationships/hyperlink" Id="rId59" Target="https://doi.org/10.1037/rev0000334" TargetMode="External" /><Relationship Type="http://schemas.openxmlformats.org/officeDocument/2006/relationships/hyperlink" Id="rId96" Target="https://doi.org/10.1037/xge0000598" TargetMode="External" /><Relationship Type="http://schemas.openxmlformats.org/officeDocument/2006/relationships/hyperlink" Id="rId79" Target="https://doi.org/10.1038/mp.2017.23" TargetMode="External" /><Relationship Type="http://schemas.openxmlformats.org/officeDocument/2006/relationships/hyperlink" Id="rId92" Target="https://doi.org/10.1038/nn.2271" TargetMode="External" /><Relationship Type="http://schemas.openxmlformats.org/officeDocument/2006/relationships/hyperlink" Id="rId106" Target="https://doi.org/10.1038/s41562-024-01956-y" TargetMode="External" /><Relationship Type="http://schemas.openxmlformats.org/officeDocument/2006/relationships/hyperlink" Id="rId110" Target="https://doi.org/10.1038/s41583-019-0150-4" TargetMode="External" /><Relationship Type="http://schemas.openxmlformats.org/officeDocument/2006/relationships/hyperlink" Id="rId83" Target="https://doi.org/10.1177/0956797615583071" TargetMode="External" /><Relationship Type="http://schemas.openxmlformats.org/officeDocument/2006/relationships/hyperlink" Id="rId70" Target="https://doi.org/10.1371/journal.pone.0004153" TargetMode="External" /><Relationship Type="http://schemas.openxmlformats.org/officeDocument/2006/relationships/hyperlink" Id="rId72" Target="https://doi.org/10.1371/journal.pone.0013706" TargetMode="External" /><Relationship Type="http://schemas.openxmlformats.org/officeDocument/2006/relationships/hyperlink" Id="rId108" Target="https://doi.org/10.1525/collabra.130791"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acp.1611" TargetMode="External" /><Relationship Type="http://schemas.openxmlformats.org/officeDocument/2006/relationships/hyperlink" Id="rId88" Target="https://doi.org/10.1002/cpp.2489" TargetMode="External" /><Relationship Type="http://schemas.openxmlformats.org/officeDocument/2006/relationships/hyperlink" Id="rId76" Target="https://doi.org/10.1006/jmps.2001.1388" TargetMode="External" /><Relationship Type="http://schemas.openxmlformats.org/officeDocument/2006/relationships/hyperlink" Id="rId64" Target="https://doi.org/10.1016/S0005-7967(99)00123-0" TargetMode="External" /><Relationship Type="http://schemas.openxmlformats.org/officeDocument/2006/relationships/hyperlink" Id="rId66" Target="https://doi.org/10.1016/j.actpsy.2007.11.002" TargetMode="External" /><Relationship Type="http://schemas.openxmlformats.org/officeDocument/2006/relationships/hyperlink" Id="rId74" Target="https://doi.org/10.1016/j.brat.2017.03.018" TargetMode="External" /><Relationship Type="http://schemas.openxmlformats.org/officeDocument/2006/relationships/hyperlink" Id="rId85" Target="https://doi.org/10.1016/j.cpr.2016.04.010" TargetMode="External" /><Relationship Type="http://schemas.openxmlformats.org/officeDocument/2006/relationships/hyperlink" Id="rId81" Target="https://doi.org/10.1016/j.cpr.2018.08.005" TargetMode="External" /><Relationship Type="http://schemas.openxmlformats.org/officeDocument/2006/relationships/hyperlink" Id="rId61" Target="https://doi.org/10.1016/j.jbtep.2011.10.008" TargetMode="External" /><Relationship Type="http://schemas.openxmlformats.org/officeDocument/2006/relationships/hyperlink" Id="rId90" Target="https://doi.org/10.1016/j.jbtep.2019.01.006" TargetMode="External" /><Relationship Type="http://schemas.openxmlformats.org/officeDocument/2006/relationships/hyperlink" Id="rId51" Target="https://doi.org/10.1016/j.jpsychires.2023.01.028" TargetMode="External" /><Relationship Type="http://schemas.openxmlformats.org/officeDocument/2006/relationships/hyperlink" Id="rId55" Target="https://doi.org/10.1037/0033-295X.103.4.670" TargetMode="External" /><Relationship Type="http://schemas.openxmlformats.org/officeDocument/2006/relationships/hyperlink" Id="rId68" Target="https://doi.org/10.1037/0096-3445.133.1.3" TargetMode="External" /><Relationship Type="http://schemas.openxmlformats.org/officeDocument/2006/relationships/hyperlink" Id="rId112" Target="https://doi.org/10.1037/0278-7393.32.4.792" TargetMode="External" /><Relationship Type="http://schemas.openxmlformats.org/officeDocument/2006/relationships/hyperlink" Id="rId102" Target="https://doi.org/10.1037/a0013396" TargetMode="External" /><Relationship Type="http://schemas.openxmlformats.org/officeDocument/2006/relationships/hyperlink" Id="rId100" Target="https://doi.org/10.1037/a0014420" TargetMode="External" /><Relationship Type="http://schemas.openxmlformats.org/officeDocument/2006/relationships/hyperlink" Id="rId57" Target="https://doi.org/10.1037/a0018113" TargetMode="External" /><Relationship Type="http://schemas.openxmlformats.org/officeDocument/2006/relationships/hyperlink" Id="rId53" Target="https://doi.org/10.1037/a0033722" TargetMode="External" /><Relationship Type="http://schemas.openxmlformats.org/officeDocument/2006/relationships/hyperlink" Id="rId98" Target="https://doi.org/10.1037/a0039036" TargetMode="External" /><Relationship Type="http://schemas.openxmlformats.org/officeDocument/2006/relationships/hyperlink" Id="rId104" Target="https://doi.org/10.1037/rev0000132" TargetMode="External" /><Relationship Type="http://schemas.openxmlformats.org/officeDocument/2006/relationships/hyperlink" Id="rId59" Target="https://doi.org/10.1037/rev0000334" TargetMode="External" /><Relationship Type="http://schemas.openxmlformats.org/officeDocument/2006/relationships/hyperlink" Id="rId96" Target="https://doi.org/10.1037/xge0000598" TargetMode="External" /><Relationship Type="http://schemas.openxmlformats.org/officeDocument/2006/relationships/hyperlink" Id="rId79" Target="https://doi.org/10.1038/mp.2017.23" TargetMode="External" /><Relationship Type="http://schemas.openxmlformats.org/officeDocument/2006/relationships/hyperlink" Id="rId92" Target="https://doi.org/10.1038/nn.2271" TargetMode="External" /><Relationship Type="http://schemas.openxmlformats.org/officeDocument/2006/relationships/hyperlink" Id="rId106" Target="https://doi.org/10.1038/s41562-024-01956-y" TargetMode="External" /><Relationship Type="http://schemas.openxmlformats.org/officeDocument/2006/relationships/hyperlink" Id="rId110" Target="https://doi.org/10.1038/s41583-019-0150-4" TargetMode="External" /><Relationship Type="http://schemas.openxmlformats.org/officeDocument/2006/relationships/hyperlink" Id="rId83" Target="https://doi.org/10.1177/0956797615583071" TargetMode="External" /><Relationship Type="http://schemas.openxmlformats.org/officeDocument/2006/relationships/hyperlink" Id="rId70" Target="https://doi.org/10.1371/journal.pone.0004153" TargetMode="External" /><Relationship Type="http://schemas.openxmlformats.org/officeDocument/2006/relationships/hyperlink" Id="rId72" Target="https://doi.org/10.1371/journal.pone.0013706" TargetMode="External" /><Relationship Type="http://schemas.openxmlformats.org/officeDocument/2006/relationships/hyperlink" Id="rId108" Target="https://doi.org/10.1525/collabra.1307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2026-05-20T05:44:54Z</dcterms:created>
  <dcterms:modified xsi:type="dcterms:W3CDTF">2026-05-20T05:44:54Z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