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When later retrieval contexts cue both film items and task competitors, film items are less likely to be sampled during unguided retrieval, reducing intrusions even though film-item strength is not reduced.</w:t>
      </w:r>
      <w:r>
        <w:t xml:space="preserve"> </w:t>
      </w:r>
      <w:r>
        <w:t xml:space="preserve">Deliberate recall is less vulnerable when task goals provide a film-directed start cue and selection favors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in an emotional Context Maintenance and Retrieval model</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CMR extends this framework by representing context-to-item and item-to-context associations across temporal, semantic, and source/contextual dimensions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 over memory search enters the framework in two related ways: start-of-recall context reinstatement can bias retrieval toward a target episode, while monitoring mechanisms can reject candidates that poorly match a target context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(i.e., eCMR and CMR3) add emotional context and emotion-dependent binding, allowing retrieved-context models to capture how affective content shapes recall organization, emotional intrusions, and intentional access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commitments make the framework a principled setting for testing whether selective interference can arise within a single affectively-modulated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similar to film-associated context states, including states reinstated by reminders.</w:t>
      </w:r>
      <w:r>
        <w:t xml:space="preserve"> </w:t>
      </w:r>
      <w:r>
        <w:t xml:space="preserve">At retrieval, the current context state cues memory search, so competition depends on how strongly film items and task items are associated with similar context states.</w:t>
      </w:r>
      <w:r>
        <w:t xml:space="preserve"> </w:t>
      </w:r>
      <w:r>
        <w:t xml:space="preserve">Deliberate recall can reduce vulnerability to this competition when retrieval begins from a more film-directed state and when selection favors film items over competitors.</w:t>
      </w:r>
      <w:r>
        <w:t xml:space="preserve"> </w:t>
      </w:r>
      <w:r>
        <w:t xml:space="preserve">The account therefore attributes the intrusion-voluntary-memory dissociation to retrieval modes and control settings applied to shared memory associations.</w:t>
      </w:r>
      <w:r>
        <w:t xml:space="preserve"> </w:t>
      </w:r>
      <w:r>
        <w:t xml:space="preserve">This reframes selective interference as a change in which competitors are cued by film-associated context states, rather than as reduced availability of film items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unguided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task encoding strength and contextual overlap, clarifying when task items are cued alongside film items and when they become strong competitors for film retrieval.</w:t>
      </w:r>
      <w:r>
        <w:t xml:space="preserve"> </w:t>
      </w:r>
      <w:r>
        <w:t xml:space="preserve">They also apply the same overlap logic to delayed interference, asking whether reminder-driven reinstatement makes later task items competitors by returning encoding context toward the film.</w:t>
      </w:r>
      <w:r>
        <w:t xml:space="preserve"> </w:t>
      </w:r>
      <w:r>
        <w:t xml:space="preserve">Follow-up simulations use the same framework to interpret heterogeneity across empirical paradigms, including cue-embedded intrusion and recognition tasks</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They show that film-related cues during intrusion monitoring can narrow the intrusion-voluntary-memory dissociation by steering retrieval toward film context.</w:t>
      </w:r>
      <w:r>
        <w:t xml:space="preserve"> </w:t>
      </w:r>
      <w:r>
        <w:t xml:space="preserve">They also show that tests supplying a film item can be less vulnerable to interference, because the supplied item can reinstate its associated context instead of requiring retrieval to sample among film items and task competitors from a broad contextual cue.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Retrieved-context account of selective interference.</w:t>
      </w:r>
      <w:r>
        <w:t xml:space="preserve"> </w:t>
      </w:r>
      <w:r>
        <w:t xml:space="preserve">The account explains selective interference through context overlap, task encoding strength, and retrieval control within a shared memory system.</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affective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r>
        <w:t xml:space="preserve"> </w:t>
      </w:r>
      <w:r>
        <w:t xml:space="preserve">Emotional extensions of CMR represent affect as an additional 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affective-context stream can amplify competition when film and task items share the relevant affective feature.</w:t>
      </w:r>
    </w:p>
    <w:p>
      <w:pPr>
        <w:pStyle w:val="BodyText"/>
      </w:pPr>
      <w:r>
        <w:t xml:space="preserve">Context-to-item retrieval uses the current context state to cue candidate items.</w:t>
      </w:r>
      <w:r>
        <w:t xml:space="preserve"> </w:t>
      </w:r>
      <w:r>
        <w:t xml:space="preserve">Here, unguided retrieval refers to broad context-to-item sampling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affective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Furthermore, retrieval tests that supply a film item can be less vulnerable to interference, because the supplied item can reinstate its associated context directly, sidestepping the problem of selecting between items associated with overlapping context states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protected only to the extent that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The simulations instantiate these commitments in an emotional CMR model with phase-specific encoding, reminder-driven reinstatement, retrieval-mode and control settings, and affective overlap</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p>
    <w:bookmarkEnd w:id="29"/>
    <w:bookmarkStart w:id="56" w:name="model-specification"/>
    <w:p>
      <w:pPr>
        <w:pStyle w:val="Heading1"/>
      </w:pPr>
      <w:r>
        <w:t xml:space="preserve">Model Specification</w:t>
      </w:r>
    </w:p>
    <w:p>
      <w:pPr>
        <w:pStyle w:val="FirstParagraph"/>
      </w:pPr>
      <w:r>
        <w:t xml:space="preserve">The specification below defines the model’s representations, parameters, and initialization before turning to context updating, associative learning, retrieval, retrieval-control settings, and affective context.</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r>
        <w:t xml:space="preserve">Base parameter values are anchored by a pooled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hyperlink w:anchor="tbl-base-parameters">
        <w:r>
          <w:rPr>
            <w:rStyle w:val="Hyperlink"/>
          </w:rPr>
          <w:t xml:space="preserve">Table 1</w:t>
        </w:r>
      </w:hyperlink>
      <w:r>
        <w:t xml:space="preserve"> </w:t>
      </w:r>
      <w:r>
        <w:t xml:space="preserve">lists the base parameters used by the model.</w:t>
      </w:r>
    </w:p>
    <w:bookmarkStart w:id="30" w:name="tbl-base-parameters"/>
    <w:p>
      <w:pPr>
        <w:pStyle w:val="FigureTitle"/>
      </w:pPr>
      <w:r>
        <w:t xml:space="preserve">Table 1</w:t>
      </w:r>
    </w:p>
    <w:p>
      <w:pPr>
        <w:pStyle w:val="Caption"/>
      </w:pPr>
      <w:r>
        <w:t xml:space="preserve">Base parameters and theoretical roles.</w:t>
      </w:r>
      <w:r>
        <w:t xml:space="preserve"> </w:t>
      </w:r>
      <w:r>
        <w:t xml:space="preserve">The parameter anchor is external to the selective-interference simulations</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or film-directed context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β</m:t>
                  </m:r>
                </m:e>
                <m:sub>
                  <m:r>
                    <m:t>e</m:t>
                  </m:r>
                  <m:r>
                    <m:t>m</m:t>
                  </m:r>
                  <m:r>
                    <m:t>o</m:t>
                  </m:r>
                  <m:r>
                    <m:t>t</m:t>
                  </m:r>
                </m:sub>
              </m:sSub>
            </m:oMath>
          </w:p>
        </w:tc>
        <w:tc>
          <w:tcPr/>
          <w:p>
            <w:pPr>
              <w:pStyle w:val="Compact"/>
            </w:pPr>
            <w:r>
              <w:t xml:space="preserve">emotional-context drift rate</w:t>
            </w:r>
          </w:p>
        </w:tc>
        <w:tc>
          <w:tcPr/>
          <w:p>
            <w:pPr>
              <w:pStyle w:val="Compact"/>
            </w:pPr>
            <w:r>
              <w:t xml:space="preserve">Context drift in the emotional pathway</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emotional learning scale</w:t>
            </w:r>
          </w:p>
        </w:tc>
        <w:tc>
          <w:tcPr/>
          <w:p>
            <w:pPr>
              <w:pStyle w:val="Compact"/>
            </w:pPr>
            <w:r>
              <w:t xml:space="preserve">Emotional context-to-feature learning</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non-film competitors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output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Because the selective-interference simulations vary the new associations formed across phases, these baseline associations are treated as fixed model architecture rather than as the mechanism of interest.</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When a new event is encoded, the active feature and updated context are also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recalling item</w:t>
      </w:r>
      <w:r>
        <w:t xml:space="preserve"> </w:t>
      </w:r>
      <m:oMath>
        <m:r>
          <m:t>i</m:t>
        </m:r>
      </m:oMath>
      <w:r>
        <w:t xml:space="preserve">, conditional on continuing recall, follows a Luce choice rule over currently unrecalled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recall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output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recalled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recalled-item update drives context toward the recalled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recalled items, and supplied film items use the context update without adding a new recallable event.</w:t>
      </w:r>
    </w:p>
    <w:bookmarkEnd w:id="45"/>
    <w:bookmarkStart w:id="47" w:name="paradigm-phases-and-settings"/>
    <w:p>
      <w:pPr>
        <w:pStyle w:val="Heading2"/>
      </w:pPr>
      <w:r>
        <w:t xml:space="preserve">Paradigm Phases and Settings</w:t>
      </w:r>
    </w:p>
    <w:p>
      <w:pPr>
        <w:pStyle w:val="FirstParagraph"/>
      </w:pPr>
      <w:r>
        <w:t xml:space="preserve">The selective-interference paradigm configures the drift term in</w:t>
      </w:r>
      <w:r>
        <w:t xml:space="preserve"> </w:t>
      </w:r>
      <w:hyperlink w:anchor="eq-context-update">
        <w:r>
          <w:rPr>
            <w:rStyle w:val="Hyperlink"/>
          </w:rPr>
          <w:t xml:space="preserve">Equation 4</w:t>
        </w:r>
      </w:hyperlink>
      <w:r>
        <w:t xml:space="preserve">, the learning scale in</w:t>
      </w:r>
      <w:r>
        <w:t xml:space="preserve"> </w:t>
      </w:r>
      <w:hyperlink w:anchor="eq-mcf-learning">
        <w:r>
          <w:rPr>
            <w:rStyle w:val="Hyperlink"/>
          </w:rPr>
          <w:t xml:space="preserve">Equation 8</w:t>
        </w:r>
      </w:hyperlink>
      <w:r>
        <w:t xml:space="preserve">, and the retrieval-control settings applied to the sampling process.</w:t>
      </w:r>
      <w:r>
        <w:t xml:space="preserve"> </w:t>
      </w:r>
      <w:hyperlink w:anchor="tbl-paradigm-settings">
        <w:r>
          <w:rPr>
            <w:rStyle w:val="Hyperlink"/>
          </w:rPr>
          <w:t xml:space="preserve">Table 2</w:t>
        </w:r>
      </w:hyperlink>
      <w:r>
        <w:t xml:space="preserve"> </w:t>
      </w:r>
      <w:r>
        <w:t xml:space="preserve">summarizes the settings used by the simulations.</w:t>
      </w:r>
    </w:p>
    <w:bookmarkStart w:id="46" w:name="tbl-paradigm-settings"/>
    <w:p>
      <w:pPr>
        <w:pStyle w:val="FigureTitle"/>
      </w:pPr>
      <w:r>
        <w:t xml:space="preserve">Table 2</w:t>
      </w:r>
    </w:p>
    <w:p>
      <w:pPr>
        <w:pStyle w:val="Caption"/>
      </w:pPr>
      <w:r>
        <w:t xml:space="preserve">Paradigm phase and retrieval settings.</w:t>
      </w:r>
      <w:r>
        <w:t xml:space="preserve"> </w:t>
      </w:r>
      <w:r>
        <w:t xml:space="preserve">Drift scales multiply their base rates and are clipped to</w:t>
      </w:r>
      <w:r>
        <w:t xml:space="preserve"> </w:t>
      </w:r>
      <m:oMath>
        <m:d>
          <m:dPr>
            <m:begChr m:val="["/>
            <m:sepChr m:val=""/>
            <m:endChr m:val="]"/>
            <m:grow/>
          </m:dPr>
          <m:e>
            <m:r>
              <m:t>0</m:t>
            </m:r>
            <m:r>
              <m:rPr>
                <m:sty m:val="p"/>
              </m:rPr>
              <m:t>,</m:t>
            </m:r>
            <m:r>
              <m:t>1</m:t>
            </m:r>
          </m:e>
        </m:d>
      </m: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Operation</w:t>
            </w:r>
          </w:p>
        </w:tc>
        <w:tc>
          <w:tcPr/>
          <w:p>
            <w:pPr>
              <w:pStyle w:val="Compact"/>
            </w:pPr>
            <w:r>
              <w:t xml:space="preserve">Settings</w:t>
            </w:r>
          </w:p>
        </w:tc>
        <w:tc>
          <w:tcPr/>
          <w:p>
            <w:pPr>
              <w:pStyle w:val="Compact"/>
            </w:pPr>
            <w:r>
              <w:t xml:space="preserve">Paradigm role</w:t>
            </w:r>
          </w:p>
        </w:tc>
      </w:tr>
      <w:tr>
        <w:tc>
          <w:tcPr/>
          <w:p>
            <w:pPr>
              <w:pStyle w:val="Compact"/>
            </w:pPr>
            <w:r>
              <w:t xml:space="preserve">Film</w:t>
            </w:r>
          </w:p>
        </w:tc>
        <w:tc>
          <w:tcPr/>
          <w:p>
            <w:pPr>
              <w:pStyle w:val="Compact"/>
            </w:pPr>
            <w:r>
              <w:t xml:space="preserve">Encode film items</w:t>
            </w:r>
          </w:p>
        </w:tc>
        <w:tc>
          <w:tcPr/>
          <w:p>
            <w:pPr>
              <w:pStyle w:val="Compact"/>
            </w:pPr>
            <m:oMath>
              <m:r>
                <m:t>β</m:t>
              </m:r>
              <m:r>
                <m:rPr>
                  <m:sty m:val="p"/>
                </m:rPr>
                <m:t>=</m:t>
              </m:r>
              <m:sSub>
                <m:e>
                  <m:r>
                    <m:t>β</m:t>
                  </m:r>
                </m:e>
                <m:sub>
                  <m:r>
                    <m:t>e</m:t>
                  </m:r>
                  <m:r>
                    <m:t>n</m:t>
                  </m:r>
                  <m:r>
                    <m:t>c</m:t>
                  </m:r>
                </m:sub>
              </m:sSub>
            </m:oMath>
            <w:r>
              <w:t xml:space="preserve">;</w:t>
            </w:r>
            <w:r>
              <w:t xml:space="preserve"> </w:t>
            </w:r>
            <m:oMath>
              <m:r>
                <m:t>λ</m:t>
              </m:r>
              <m:r>
                <m:rPr>
                  <m:sty m:val="p"/>
                </m:rPr>
                <m:t>=</m:t>
              </m:r>
              <m:r>
                <m:t>1</m:t>
              </m:r>
            </m:oMath>
          </w:p>
        </w:tc>
        <w:tc>
          <w:tcPr/>
          <w:p>
            <w:pPr>
              <w:pStyle w:val="Compact"/>
            </w:pPr>
            <w:r>
              <w:t xml:space="preserve">Target episode encoding</w:t>
            </w:r>
          </w:p>
        </w:tc>
      </w:tr>
      <w:tr>
        <w:tc>
          <w:tcPr/>
          <w:p>
            <w:pPr>
              <w:pStyle w:val="Compact"/>
            </w:pPr>
            <w:r>
              <w:t xml:space="preserve">Break</w:t>
            </w:r>
          </w:p>
        </w:tc>
        <w:tc>
          <w:tcPr/>
          <w:p>
            <w:pPr>
              <w:pStyle w:val="Compact"/>
            </w:pPr>
            <w:r>
              <w:t xml:space="preserve">Encode break items</w:t>
            </w:r>
          </w:p>
        </w:tc>
        <w:tc>
          <w:tcPr/>
          <w:p>
            <w:pPr>
              <w:pStyle w:val="Compact"/>
            </w:pPr>
            <m:oMath>
              <m:r>
                <m:t>β</m:t>
              </m:r>
              <m:r>
                <m:rPr>
                  <m:sty m:val="p"/>
                </m:rPr>
                <m:t>=</m:t>
              </m:r>
              <m:sSubSup>
                <m:e>
                  <m:r>
                    <m:t>m</m:t>
                  </m:r>
                </m:e>
                <m:sub>
                  <m:r>
                    <m:rPr>
                      <m:nor/>
                      <m:sty m:val="p"/>
                    </m:rPr>
                    <m:t>break</m:t>
                  </m:r>
                </m:sub>
                <m:sup>
                  <m:r>
                    <m:t>β</m:t>
                  </m:r>
                </m:sup>
              </m:sSubSup>
              <m:sSub>
                <m:e>
                  <m:r>
                    <m:t>β</m:t>
                  </m:r>
                </m:e>
                <m:sub>
                  <m:r>
                    <m:t>e</m:t>
                  </m:r>
                  <m:r>
                    <m:t>n</m:t>
                  </m:r>
                  <m:r>
                    <m:t>c</m:t>
                  </m:r>
                </m:sub>
              </m:sSub>
            </m:oMath>
            <w:r>
              <w:t xml:space="preserve">;</w:t>
            </w:r>
            <w:r>
              <w:t xml:space="preserve"> </w:t>
            </w:r>
            <m:oMath>
              <m:r>
                <m:t>λ</m:t>
              </m:r>
              <m:r>
                <m:rPr>
                  <m:sty m:val="p"/>
                </m:rPr>
                <m:t>=</m:t>
              </m:r>
              <m:sSubSup>
                <m:e>
                  <m:r>
                    <m:t>m</m:t>
                  </m:r>
                </m:e>
                <m:sub>
                  <m:r>
                    <m:rPr>
                      <m:nor/>
                      <m:sty m:val="p"/>
                    </m:rPr>
                    <m:t>break</m:t>
                  </m:r>
                </m:sub>
                <m:sup>
                  <m:r>
                    <m:t>λ</m:t>
                  </m:r>
                </m:sup>
              </m:sSubSup>
            </m:oMath>
          </w:p>
        </w:tc>
        <w:tc>
          <w:tcPr/>
          <w:p>
            <w:pPr>
              <w:pStyle w:val="Compact"/>
            </w:pPr>
            <w:r>
              <w:t xml:space="preserve">Delay and possible break-item competitors</w:t>
            </w:r>
          </w:p>
        </w:tc>
      </w:tr>
      <w:tr>
        <w:tc>
          <w:tcPr/>
          <w:p>
            <w:pPr>
              <w:pStyle w:val="Compact"/>
            </w:pPr>
            <w:r>
              <w:t xml:space="preserve">Reminder start</w:t>
            </w:r>
          </w:p>
        </w:tc>
        <w:tc>
          <w:tcPr/>
          <w:p>
            <w:pPr>
              <w:pStyle w:val="Compact"/>
            </w:pPr>
            <w:r>
              <w:t xml:space="preserve">Drift toward start state</w:t>
            </w:r>
          </w:p>
        </w:tc>
        <w:tc>
          <w:tcPr/>
          <w:p>
            <w:pPr>
              <w:pStyle w:val="Compact"/>
            </w:pPr>
            <m:oMath>
              <m:r>
                <m:t>β</m:t>
              </m:r>
              <m:r>
                <m:rPr>
                  <m:sty m:val="p"/>
                </m:rPr>
                <m:t>=</m:t>
              </m:r>
              <m:sSubSup>
                <m:e>
                  <m:r>
                    <m:t>m</m:t>
                  </m:r>
                </m:e>
                <m:sub>
                  <m:r>
                    <m:rPr>
                      <m:nor/>
                      <m:sty m:val="p"/>
                    </m:rPr>
                    <m:t>rem,start</m:t>
                  </m:r>
                </m:sub>
                <m:sup>
                  <m:r>
                    <m:t>β</m:t>
                  </m:r>
                </m:sup>
              </m:sSubSup>
              <m:sSub>
                <m:e>
                  <m:r>
                    <m:t>β</m:t>
                  </m:r>
                </m:e>
                <m:sub>
                  <m:r>
                    <m:t>s</m:t>
                  </m:r>
                  <m:r>
                    <m:t>t</m:t>
                  </m:r>
                  <m:r>
                    <m:t>a</m:t>
                  </m:r>
                  <m:r>
                    <m:t>r</m:t>
                  </m:r>
                  <m:r>
                    <m:t>t</m:t>
                  </m:r>
                </m:sub>
              </m:sSub>
            </m:oMath>
            <w:r>
              <w:t xml:space="preserve">; no learning</w:t>
            </w:r>
          </w:p>
        </w:tc>
        <w:tc>
          <w:tcPr/>
          <w:p>
            <w:pPr>
              <w:pStyle w:val="Compact"/>
            </w:pPr>
            <w:r>
              <w:t xml:space="preserve">Context change before reminders</w:t>
            </w:r>
          </w:p>
        </w:tc>
      </w:tr>
      <w:tr>
        <w:tc>
          <w:tcPr/>
          <w:p>
            <w:pPr>
              <w:pStyle w:val="Compact"/>
            </w:pPr>
            <w:r>
              <w:t xml:space="preserve">Film reminder</w:t>
            </w:r>
          </w:p>
        </w:tc>
        <w:tc>
          <w:tcPr/>
          <w:p>
            <w:pPr>
              <w:pStyle w:val="Compact"/>
            </w:pPr>
            <w:r>
              <w:t xml:space="preserve">Sequentially cue film items</w:t>
            </w:r>
          </w:p>
        </w:tc>
        <w:tc>
          <w:tcPr/>
          <w:p>
            <w:pPr>
              <w:pStyle w:val="Compact"/>
            </w:pPr>
            <m:oMath>
              <m:r>
                <m:t>β</m:t>
              </m:r>
              <m:r>
                <m:rPr>
                  <m:sty m:val="p"/>
                </m:rPr>
                <m:t>=</m:t>
              </m:r>
              <m:sSubSup>
                <m:e>
                  <m:r>
                    <m:t>m</m:t>
                  </m:r>
                </m:e>
                <m:sub>
                  <m:r>
                    <m:rPr>
                      <m:nor/>
                      <m:sty m:val="p"/>
                    </m:rPr>
                    <m:t>rem</m:t>
                  </m:r>
                </m:sub>
                <m:sup>
                  <m:r>
                    <m:t>β</m:t>
                  </m:r>
                </m:sup>
              </m:sSubSup>
              <m:sSub>
                <m:e>
                  <m:r>
                    <m:t>β</m:t>
                  </m:r>
                </m:e>
                <m:sub>
                  <m:r>
                    <m:t>e</m:t>
                  </m:r>
                  <m:r>
                    <m:t>n</m:t>
                  </m:r>
                  <m:r>
                    <m:t>c</m:t>
                  </m:r>
                </m:sub>
              </m:sSub>
            </m:oMath>
            <w:r>
              <w:t xml:space="preserve">; no learning; no new recallable item</w:t>
            </w:r>
          </w:p>
        </w:tc>
        <w:tc>
          <w:tcPr/>
          <w:p>
            <w:pPr>
              <w:pStyle w:val="Compact"/>
            </w:pPr>
            <w:r>
              <w:t xml:space="preserve">Film-context reinstatement before task encoding</w:t>
            </w:r>
          </w:p>
        </w:tc>
      </w:tr>
      <w:tr>
        <w:tc>
          <w:tcPr/>
          <w:p>
            <w:pPr>
              <w:pStyle w:val="Compact"/>
            </w:pPr>
            <w:r>
              <w:t xml:space="preserve">Task</w:t>
            </w:r>
          </w:p>
        </w:tc>
        <w:tc>
          <w:tcPr/>
          <w:p>
            <w:pPr>
              <w:pStyle w:val="Compact"/>
            </w:pPr>
            <w:r>
              <w:t xml:space="preserve">Encode task items</w:t>
            </w:r>
          </w:p>
        </w:tc>
        <w:tc>
          <w:tcPr/>
          <w:p>
            <w:pPr>
              <w:pStyle w:val="Compact"/>
            </w:pPr>
            <m:oMath>
              <m:r>
                <m:t>β</m:t>
              </m:r>
              <m:r>
                <m:rPr>
                  <m:sty m:val="p"/>
                </m:rPr>
                <m:t>=</m:t>
              </m:r>
              <m:sSubSup>
                <m:e>
                  <m:r>
                    <m:t>m</m:t>
                  </m:r>
                </m:e>
                <m:sub>
                  <m:r>
                    <m:rPr>
                      <m:nor/>
                      <m:sty m:val="p"/>
                    </m:rPr>
                    <m:t>task</m:t>
                  </m:r>
                </m:sub>
                <m:sup>
                  <m:r>
                    <m:t>β</m:t>
                  </m:r>
                </m:sup>
              </m:sSubSup>
              <m:sSub>
                <m:e>
                  <m:r>
                    <m:t>β</m:t>
                  </m:r>
                </m:e>
                <m:sub>
                  <m:r>
                    <m:t>e</m:t>
                  </m:r>
                  <m:r>
                    <m:t>n</m:t>
                  </m:r>
                  <m:r>
                    <m:t>c</m:t>
                  </m:r>
                </m:sub>
              </m:sSub>
            </m:oMath>
            <w:r>
              <w:t xml:space="preserve">;</w:t>
            </w:r>
            <w:r>
              <w:t xml:space="preserve"> </w:t>
            </w:r>
            <m:oMath>
              <m:r>
                <m:t>λ</m:t>
              </m:r>
              <m:r>
                <m:rPr>
                  <m:sty m:val="p"/>
                </m:rPr>
                <m:t>=</m:t>
              </m:r>
              <m:sSubSup>
                <m:e>
                  <m:r>
                    <m:t>m</m:t>
                  </m:r>
                </m:e>
                <m:sub>
                  <m:r>
                    <m:rPr>
                      <m:nor/>
                      <m:sty m:val="p"/>
                    </m:rPr>
                    <m:t>task</m:t>
                  </m:r>
                </m:sub>
                <m:sup>
                  <m:r>
                    <m:t>λ</m:t>
                  </m:r>
                </m:sup>
              </m:sSubSup>
            </m:oMath>
          </w:p>
        </w:tc>
        <w:tc>
          <w:tcPr/>
          <w:p>
            <w:pPr>
              <w:pStyle w:val="Compact"/>
            </w:pPr>
            <w:r>
              <w:t xml:space="preserve">Competitor encoding and film-task contextual overlap</w:t>
            </w:r>
          </w:p>
        </w:tc>
      </w:tr>
      <w:tr>
        <w:tc>
          <w:tcPr/>
          <w:p>
            <w:pPr>
              <w:pStyle w:val="Compact"/>
            </w:pPr>
            <w:r>
              <w:t xml:space="preserve">Filler</w:t>
            </w:r>
          </w:p>
        </w:tc>
        <w:tc>
          <w:tcPr/>
          <w:p>
            <w:pPr>
              <w:pStyle w:val="Compact"/>
            </w:pPr>
            <w:r>
              <w:t xml:space="preserve">Encode filler items</w:t>
            </w:r>
          </w:p>
        </w:tc>
        <w:tc>
          <w:tcPr/>
          <w:p>
            <w:pPr>
              <w:pStyle w:val="Compact"/>
            </w:pPr>
            <m:oMath>
              <m:r>
                <m:t>β</m:t>
              </m:r>
              <m:r>
                <m:rPr>
                  <m:sty m:val="p"/>
                </m:rPr>
                <m:t>=</m:t>
              </m:r>
              <m:sSubSup>
                <m:e>
                  <m:r>
                    <m:t>m</m:t>
                  </m:r>
                </m:e>
                <m:sub>
                  <m:r>
                    <m:rPr>
                      <m:nor/>
                      <m:sty m:val="p"/>
                    </m:rPr>
                    <m:t>fill</m:t>
                  </m:r>
                </m:sub>
                <m:sup>
                  <m:r>
                    <m:t>β</m:t>
                  </m:r>
                </m:sup>
              </m:sSubSup>
              <m:sSub>
                <m:e>
                  <m:r>
                    <m:t>β</m:t>
                  </m:r>
                </m:e>
                <m:sub>
                  <m:r>
                    <m:t>e</m:t>
                  </m:r>
                  <m:r>
                    <m:t>n</m:t>
                  </m:r>
                  <m:r>
                    <m:t>c</m:t>
                  </m:r>
                </m:sub>
              </m:sSub>
            </m:oMath>
            <w:r>
              <w:t xml:space="preserve">;</w:t>
            </w:r>
            <w:r>
              <w:t xml:space="preserve"> </w:t>
            </w:r>
            <m:oMath>
              <m:r>
                <m:t>λ</m:t>
              </m:r>
              <m:r>
                <m:rPr>
                  <m:sty m:val="p"/>
                </m:rPr>
                <m:t>=</m:t>
              </m:r>
              <m:sSubSup>
                <m:e>
                  <m:r>
                    <m:t>m</m:t>
                  </m:r>
                </m:e>
                <m:sub>
                  <m:r>
                    <m:rPr>
                      <m:nor/>
                      <m:sty m:val="p"/>
                    </m:rPr>
                    <m:t>fill</m:t>
                  </m:r>
                </m:sub>
                <m:sup>
                  <m:r>
                    <m:t>λ</m:t>
                  </m:r>
                </m:sup>
              </m:sSubSup>
            </m:oMath>
          </w:p>
        </w:tc>
        <w:tc>
          <w:tcPr/>
          <w:p>
            <w:pPr>
              <w:pStyle w:val="Compact"/>
            </w:pPr>
            <w:r>
              <w:t xml:space="preserve">Post-task buffer and possible filler competitors</w:t>
            </w:r>
          </w:p>
        </w:tc>
      </w:tr>
      <w:tr>
        <w:tc>
          <w:tcPr/>
          <w:p>
            <w:pPr>
              <w:pStyle w:val="Compact"/>
            </w:pPr>
            <w:r>
              <w:t xml:space="preserve">Unguided retrieval</w:t>
            </w:r>
          </w:p>
        </w:tc>
        <w:tc>
          <w:tcPr/>
          <w:p>
            <w:pPr>
              <w:pStyle w:val="Compact"/>
            </w:pPr>
            <w:r>
              <w:t xml:space="preserve">Context-to-feature retrieval</w:t>
            </w:r>
          </w:p>
        </w:tc>
        <w:tc>
          <w:tcPr/>
          <w:p>
            <w:pPr>
              <w:pStyle w:val="Compact"/>
            </w:pPr>
            <w:r>
              <w:t xml:space="preserve">Current context; baseline</w:t>
            </w:r>
            <w:r>
              <w:t xml:space="preserve"> </w:t>
            </w:r>
            <m:oMath>
              <m:r>
                <m:t>τ</m:t>
              </m:r>
            </m:oMath>
            <w:r>
              <w:t xml:space="preserve">; no film-directed start cue</w:t>
            </w:r>
          </w:p>
        </w:tc>
        <w:tc>
          <w:tcPr/>
          <w:p>
            <w:pPr>
              <w:pStyle w:val="Compact"/>
            </w:pPr>
            <w:r>
              <w:t xml:space="preserve">Broad retrieval from the current context state</w:t>
            </w:r>
          </w:p>
        </w:tc>
      </w:tr>
      <w:tr>
        <w:tc>
          <w:tcPr/>
          <w:p>
            <w:pPr>
              <w:pStyle w:val="Compact"/>
            </w:pPr>
            <w:r>
              <w:t xml:space="preserve">Deliberate recall</w:t>
            </w:r>
          </w:p>
        </w:tc>
        <w:tc>
          <w:tcPr/>
          <w:p>
            <w:pPr>
              <w:pStyle w:val="Compact"/>
            </w:pPr>
            <w:r>
              <w:t xml:space="preserve">Context-to-feature retrieval with control</w:t>
            </w:r>
          </w:p>
        </w:tc>
        <w:tc>
          <w:tcPr/>
          <w:p>
            <w:pPr>
              <w:pStyle w:val="Compact"/>
            </w:pPr>
            <w:r>
              <w:t xml:space="preserve">Film-directed start/context cueing; scaled</w:t>
            </w:r>
            <w:r>
              <w:t xml:space="preserve"> </w:t>
            </w:r>
            <m:oMath>
              <m:r>
                <m:t>τ</m:t>
              </m:r>
            </m:oMath>
            <w:r>
              <w:t xml:space="preserve">; target monitoring when enabled</w:t>
            </w:r>
          </w:p>
        </w:tc>
        <w:tc>
          <w:tcPr/>
          <w:p>
            <w:pPr>
              <w:pStyle w:val="Compact"/>
            </w:pPr>
            <w:r>
              <w:t xml:space="preserve">Voluntary film-directed retrieval</w:t>
            </w:r>
          </w:p>
        </w:tc>
      </w:tr>
    </w:tbl>
    <w:bookmarkEnd w:id="46"/>
    <w:p>
      <w:pPr>
        <w:pStyle w:val="AfterWithoutNote"/>
      </w:pPr>
      <w:r>
        <w:t xml:space="preserve">The reminder phase applies the film-item reminder cue operation sequentially to the film items.</w:t>
      </w:r>
      <w:r>
        <w:t xml:space="preserve"> </w:t>
      </w:r>
      <w:r>
        <w:t xml:space="preserve">Each reminder cue uses</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to reinstate context, but it does not apply</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is not added as a recallable item.</w:t>
      </w:r>
      <w:r>
        <w:t xml:space="preserve"> </w:t>
      </w:r>
      <w:r>
        <w:t xml:space="preserve">Task items encoded after stronger reminder reinstatement are therefore associated with context states more similar to those associated with film items.</w:t>
      </w:r>
      <w:r>
        <w:t xml:space="preserve"> </w:t>
      </w:r>
      <w:r>
        <w:t xml:space="preserve">Increasing</w:t>
      </w:r>
      <w:r>
        <w:t xml:space="preserve"> </w:t>
      </w:r>
      <m:oMath>
        <m:sSubSup>
          <m:e>
            <m:r>
              <m:t>m</m:t>
            </m:r>
          </m:e>
          <m:sub>
            <m:r>
              <m:rPr>
                <m:nor/>
                <m:sty m:val="p"/>
              </m:rPr>
              <m:t>task</m:t>
            </m:r>
          </m:sub>
          <m:sup>
            <m:r>
              <m:t>λ</m:t>
            </m:r>
          </m:sup>
        </m:sSubSup>
      </m:oMath>
      <w:r>
        <w:t xml:space="preserve"> </w:t>
      </w:r>
      <w:r>
        <w:t xml:space="preserve">scales</w:t>
      </w:r>
      <w:r>
        <w:t xml:space="preserve"> </w:t>
      </w:r>
      <w:hyperlink w:anchor="eq-mcf-learning">
        <w:r>
          <w:rPr>
            <w:rStyle w:val="Hyperlink"/>
          </w:rPr>
          <w:t xml:space="preserve">Equation 8</w:t>
        </w:r>
      </w:hyperlink>
      <w:r>
        <w:t xml:space="preserve"> </w:t>
      </w:r>
      <w:r>
        <w:t xml:space="preserve">and makes task items stronger competitors once cued, whereas changing</w:t>
      </w:r>
      <w:r>
        <w:t xml:space="preserve"> </w:t>
      </w:r>
      <m:oMath>
        <m:sSubSup>
          <m:e>
            <m:r>
              <m:t>m</m:t>
            </m:r>
          </m:e>
          <m:sub>
            <m:r>
              <m:rPr>
                <m:nor/>
                <m:sty m:val="p"/>
              </m:rPr>
              <m:t>task</m:t>
            </m:r>
          </m:sub>
          <m:sup>
            <m:r>
              <m:t>β</m:t>
            </m:r>
          </m:sup>
        </m:sSubSup>
      </m:oMath>
      <w:r>
        <w:t xml:space="preserve"> </w:t>
      </w:r>
      <w:r>
        <w:t xml:space="preserve">changes the drift term in</w:t>
      </w:r>
      <w:r>
        <w:t xml:space="preserve"> </w:t>
      </w:r>
      <w:hyperlink w:anchor="eq-context-update">
        <w:r>
          <w:rPr>
            <w:rStyle w:val="Hyperlink"/>
          </w:rPr>
          <w:t xml:space="preserve">Equation 4</w:t>
        </w:r>
      </w:hyperlink>
      <w:r>
        <w:t xml:space="preserve"> </w:t>
      </w:r>
      <w:r>
        <w:t xml:space="preserve">and how close task-associated context remains to film-associated context.</w:t>
      </w:r>
      <w:r>
        <w:t xml:space="preserve"> </w:t>
      </w:r>
      <w:r>
        <w:t xml:space="preserve">Together, task drift and task learning determine whether the task phase is merely added experience or a source of items that are both contextually recruited and strong competitors.</w:t>
      </w:r>
    </w:p>
    <w:bookmarkEnd w:id="47"/>
    <w:bookmarkStart w:id="51" w:name="retrieval-control"/>
    <w:p>
      <w:pPr>
        <w:pStyle w:val="Heading2"/>
      </w:pPr>
      <w:r>
        <w:t xml:space="preserve">Retrieval Control</w:t>
      </w:r>
    </w:p>
    <w:p>
      <w:pPr>
        <w:pStyle w:val="FirstParagraph"/>
      </w:pP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w:bookmarkStart w:id="48" w:name="eq-deliberate-start-cue"/>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8"/>
    </w:p>
    <w:p>
      <w:pPr>
        <w:pStyle w:val="FirstParagraph"/>
      </w:pPr>
      <w:r>
        <w:t xml:space="preserve">The scale</w:t>
      </w:r>
      <w:r>
        <w:t xml:space="preserve"> </w:t>
      </w:r>
      <m:oMath>
        <m:sSubSup>
          <m:e>
            <m:r>
              <m:t>m</m:t>
            </m:r>
          </m:e>
          <m:sub>
            <m:r>
              <m:rPr>
                <m:nor/>
                <m:sty m:val="p"/>
              </m:rPr>
              <m:t>start</m:t>
            </m:r>
          </m:sub>
          <m:sup>
            <m:r>
              <m:t>β</m:t>
            </m:r>
          </m:sup>
        </m:sSubSup>
      </m:oMath>
      <w:r>
        <w:t xml:space="preserve"> </w:t>
      </w:r>
      <w:r>
        <w:t xml:space="preserve">controls the strength of this cueing in deliberate recall.</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 non-film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recalled-item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9"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9"/>
    </w:p>
    <w:p>
      <w:pPr>
        <w:pStyle w:val="FirstParagraph"/>
      </w:pPr>
      <w:r>
        <w:t xml:space="preserve">When</w:t>
      </w:r>
      <w:r>
        <w:t xml:space="preserve"> </w:t>
      </w:r>
      <m:oMath>
        <m:r>
          <m:t>κ</m:t>
        </m:r>
        <m:r>
          <m:rPr>
            <m:sty m:val="p"/>
          </m:rPr>
          <m:t>&lt;</m:t>
        </m:r>
        <m:r>
          <m:t>1</m:t>
        </m:r>
      </m:oMath>
      <w:r>
        <w:t xml:space="preserve">, sampled non-film competitors have less influence on the next context state than sampled film items.</w:t>
      </w:r>
      <w:r>
        <w:t xml:space="preserve"> </w:t>
      </w:r>
      <w:r>
        <w:t xml:space="preserve">This convention is used for deliberate recall when simulations manipulate rejected-recall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50"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50"/>
    </w:p>
    <w:p>
      <w:pPr>
        <w:pStyle w:val="FirstParagraph"/>
      </w:pPr>
      <w:r>
        <w:t xml:space="preserve">This cue is not a separate retrieval system; it is the same feature-to-context operation applied to a supplied film item.</w:t>
      </w:r>
    </w:p>
    <w:bookmarkEnd w:id="51"/>
    <w:bookmarkStart w:id="55" w:name="affective-context"/>
    <w:p>
      <w:pPr>
        <w:pStyle w:val="Heading2"/>
      </w:pPr>
      <w:r>
        <w:t xml:space="preserve">Affective Context</w:t>
      </w:r>
    </w:p>
    <w:p>
      <w:pPr>
        <w:pStyle w:val="FirstParagraph"/>
      </w:pPr>
      <w:r>
        <w:t xml:space="preserve">The model also includes affective context components inherited from eCMR.</w:t>
      </w:r>
      <w:r>
        <w:t xml:space="preserve"> </w:t>
      </w:r>
      <w:r>
        <w:t xml:space="preserve">Each item has a two-unit affective feature vector</w:t>
      </w:r>
      <w:r>
        <w:t xml:space="preserve"> </w:t>
      </w:r>
      <m:oMath>
        <m:sSub>
          <m:e>
            <m:r>
              <m:t>s</m:t>
            </m:r>
          </m:e>
          <m:sub>
            <m:r>
              <m:t>i</m:t>
            </m:r>
          </m:sub>
        </m:sSub>
      </m:oMath>
      <w:r>
        <w:t xml:space="preserve">, with</w:t>
      </w:r>
      <w:r>
        <w:t xml:space="preserve"> </w:t>
      </w:r>
      <m:oMath>
        <m:sSub>
          <m:e>
            <m:r>
              <m:t>s</m:t>
            </m:r>
          </m:e>
          <m:sub>
            <m:r>
              <m:t>i</m:t>
            </m:r>
          </m:sub>
        </m:sSub>
        <m:r>
          <m:rPr>
            <m:sty m:val="p"/>
          </m:rPr>
          <m:t>=</m:t>
        </m:r>
        <m:sSup>
          <m:e>
            <m:d>
              <m:dPr>
                <m:begChr m:val="["/>
                <m:sepChr m:val=""/>
                <m:endChr m:val="]"/>
                <m:grow/>
              </m:dPr>
              <m:e>
                <m:r>
                  <m:t>1</m:t>
                </m:r>
                <m:r>
                  <m:rPr>
                    <m:sty m:val="p"/>
                  </m:rPr>
                  <m:t>,</m:t>
                </m:r>
                <m:r>
                  <m:t>0</m:t>
                </m:r>
              </m:e>
            </m:d>
          </m:e>
          <m:sup>
            <m:r>
              <m:rPr>
                <m:sty m:val="p"/>
              </m:rPr>
              <m:t>⊤</m:t>
            </m:r>
          </m:sup>
        </m:sSup>
      </m:oMath>
      <w:r>
        <w:t xml:space="preserve"> </w:t>
      </w:r>
      <w:r>
        <w:t xml:space="preserve">for items assigned the marked affective feature and</w:t>
      </w:r>
      <w:r>
        <w:t xml:space="preserve"> </w:t>
      </w:r>
      <m:oMath>
        <m:sSub>
          <m:e>
            <m:r>
              <m:t>s</m:t>
            </m:r>
          </m:e>
          <m:sub>
            <m:r>
              <m:t>i</m:t>
            </m:r>
          </m:sub>
        </m:sSub>
        <m:r>
          <m:rPr>
            <m:sty m:val="p"/>
          </m:rPr>
          <m:t>=</m:t>
        </m:r>
        <m:sSup>
          <m:e>
            <m:d>
              <m:dPr>
                <m:begChr m:val="["/>
                <m:sepChr m:val=""/>
                <m:endChr m:val="]"/>
                <m:grow/>
              </m:dPr>
              <m:e>
                <m:r>
                  <m:t>0</m:t>
                </m:r>
                <m:r>
                  <m:rPr>
                    <m:sty m:val="p"/>
                  </m:rPr>
                  <m:t>,</m:t>
                </m:r>
                <m:r>
                  <m:t>1</m:t>
                </m:r>
              </m:e>
            </m:d>
          </m:e>
          <m:sup>
            <m:r>
              <m:rPr>
                <m:sty m:val="p"/>
              </m:rPr>
              <m:t>⊤</m:t>
            </m:r>
          </m:sup>
        </m:sSup>
      </m:oMath>
      <w:r>
        <w:t xml:space="preserve"> </w:t>
      </w:r>
      <w:r>
        <w:t xml:space="preserve">for neutral or default items.</w:t>
      </w:r>
      <w:r>
        <w:t xml:space="preserve"> </w:t>
      </w:r>
      <w:r>
        <w:t xml:space="preserve">The vector</w:t>
      </w:r>
      <w:r>
        <w:t xml:space="preserve"> </w:t>
      </w:r>
      <m:oMath>
        <m:sSub>
          <m:e>
            <m:r>
              <m:t>s</m:t>
            </m:r>
          </m:e>
          <m:sub>
            <m:r>
              <m:t>i</m:t>
            </m:r>
          </m:sub>
        </m:sSub>
      </m:oMath>
      <w:r>
        <w:t xml:space="preserve"> </w:t>
      </w:r>
      <w:r>
        <w:t xml:space="preserve">is not a recallable item and is not a separate trace.</w:t>
      </w:r>
      <w:r>
        <w:t xml:space="preserve"> </w:t>
      </w:r>
      <w:r>
        <w:t xml:space="preserve">It initializes affective rows of</w:t>
      </w:r>
      <w:r>
        <w:t xml:space="preserve"> </w:t>
      </w:r>
      <m:oMath>
        <m:sSup>
          <m:e>
            <m:r>
              <m:t>M</m:t>
            </m:r>
          </m:e>
          <m:sup>
            <m:r>
              <m:t>F</m:t>
            </m:r>
            <m:r>
              <m:t>C</m:t>
            </m:r>
          </m:sup>
        </m:sSup>
      </m:oMath>
      <w:r>
        <w:t xml:space="preserve"> </w:t>
      </w:r>
      <w:r>
        <w:t xml:space="preserve">so that an item can cue its affective context components:</w:t>
      </w:r>
    </w:p>
    <w:p>
      <w:pPr>
        <w:pStyle w:val="BodyText"/>
      </w:pPr>
      <w:bookmarkStart w:id="52" w:name="eq-aff-mfc-pre"/>
      <m:oMathPara>
        <m:oMathParaPr>
          <m:jc m:val="center"/>
        </m:oMathParaPr>
        <m:oMath>
          <m:sSubSup>
            <m:e>
              <m:r>
                <m:t>M</m:t>
              </m:r>
            </m:e>
            <m:sub>
              <m:r>
                <m:t>a</m:t>
              </m:r>
              <m:r>
                <m:t>f</m:t>
              </m:r>
              <m:r>
                <m:t>f</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2"/>
    </w:p>
    <w:p>
      <w:pPr>
        <w:pStyle w:val="FirstParagraph"/>
      </w:pPr>
      <w:r>
        <w:t xml:space="preserve">Affective context-to-feature support begins at zero:</w:t>
      </w:r>
    </w:p>
    <w:p>
      <w:pPr>
        <w:pStyle w:val="BodyText"/>
      </w:pPr>
      <w:bookmarkStart w:id="53" w:name="eq-aff-mcf-pre"/>
      <m:oMathPara>
        <m:oMathParaPr>
          <m:jc m:val="center"/>
        </m:oMathParaPr>
        <m:oMath>
          <m:sSubSup>
            <m:e>
              <m:r>
                <m:t>M</m:t>
              </m:r>
            </m:e>
            <m:sub>
              <m:r>
                <m:t>a</m:t>
              </m:r>
              <m:r>
                <m:t>f</m:t>
              </m:r>
              <m:r>
                <m:t>f</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3"/>
    </w:p>
    <w:p>
      <w:pPr>
        <w:pStyle w:val="FirstParagraph"/>
      </w:pPr>
      <w:r>
        <w:t xml:space="preserve">Thus, affective context can update during experience before it contributes retrieval support.</w:t>
      </w:r>
      <w:r>
        <w:t xml:space="preserve"> </w:t>
      </w:r>
      <w:r>
        <w:t xml:space="preserve">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the added context-to-feature learning strength for item</w:t>
      </w:r>
      <w:r>
        <w:t xml:space="preserve"> </w:t>
      </w:r>
      <m:oMath>
        <m:r>
          <m:t>i</m:t>
        </m:r>
      </m:oMath>
      <w:r>
        <w:t xml:space="preserve"> </w:t>
      </w:r>
      <w:r>
        <w:t xml:space="preserve">in the affective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items assigned the marked affective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 or default items receive 0.</w:t>
      </w:r>
      <w:r>
        <w:t xml:space="preserve"> </w:t>
      </w:r>
      <w:r>
        <w:t xml:space="preserve">When affective learning is engaged, the affective components of context receive additional context-to-feature learning:</w:t>
      </w:r>
    </w:p>
    <w:p>
      <w:pPr>
        <w:pStyle w:val="BodyText"/>
      </w:pPr>
      <w:bookmarkStart w:id="54" w:name="eq-aff-mcf-learning"/>
      <m:oMathPara>
        <m:oMathParaPr>
          <m:jc m:val="center"/>
        </m:oMathParaPr>
        <m:oMath>
          <m:r>
            <m:t>Δ</m:t>
          </m:r>
          <m:sSubSup>
            <m:e>
              <m:r>
                <m:t>M</m:t>
              </m:r>
            </m:e>
            <m:sub>
              <m:r>
                <m:t>a</m:t>
              </m:r>
              <m:r>
                <m:t>f</m:t>
              </m:r>
              <m:r>
                <m:t>f</m:t>
              </m:r>
            </m:sub>
            <m:sup>
              <m:r>
                <m:t>C</m:t>
              </m:r>
              <m:r>
                <m:t>F</m:t>
              </m:r>
            </m:sup>
          </m:sSubSup>
          <m:r>
            <m:rPr>
              <m:sty m:val="p"/>
            </m:rPr>
            <m:t>=</m:t>
          </m:r>
          <m:r>
            <m:t>λ</m:t>
          </m:r>
          <m:sSub>
            <m:e>
              <m:r>
                <m:t>ϕ</m:t>
              </m:r>
            </m:e>
            <m:sub>
              <m:r>
                <m:t>i</m:t>
              </m:r>
            </m:sub>
          </m:sSub>
          <m:sSub>
            <m:e>
              <m:r>
                <m:t>ϕ</m:t>
              </m:r>
            </m:e>
            <m:sub>
              <m:r>
                <m:rPr>
                  <m:sty m:val="p"/>
                </m:rPr>
                <m:t>e</m:t>
              </m:r>
              <m:r>
                <m:rPr>
                  <m:sty m:val="p"/>
                </m:rPr>
                <m:t>m</m:t>
              </m:r>
              <m:r>
                <m:rPr>
                  <m:sty m:val="p"/>
                </m:rPr>
                <m:t>o</m:t>
              </m:r>
              <m:r>
                <m:rPr>
                  <m:sty m:val="p"/>
                </m:rPr>
                <m:t>t</m:t>
              </m:r>
              <m:r>
                <m:rPr>
                  <m:sty m:val="p"/>
                </m:rPr>
                <m:t>,</m:t>
              </m:r>
              <m:r>
                <m:t>i</m:t>
              </m:r>
            </m:sub>
          </m:sSub>
          <m:sSub>
            <m:e>
              <m:r>
                <m:t>f</m:t>
              </m:r>
            </m:e>
            <m:sub>
              <m:r>
                <m:t>i</m:t>
              </m:r>
            </m:sub>
          </m:sSub>
          <m:sSubSup>
            <m:e>
              <m:r>
                <m:t>c</m:t>
              </m:r>
            </m:e>
            <m:sub>
              <m:r>
                <m:rPr>
                  <m:sty m:val="p"/>
                </m:rPr>
                <m:t>a</m:t>
              </m:r>
              <m:r>
                <m:rPr>
                  <m:sty m:val="p"/>
                </m:rPr>
                <m:t>f</m:t>
              </m:r>
              <m:r>
                <m:rPr>
                  <m:sty m:val="p"/>
                </m:rPr>
                <m:t>f</m:t>
              </m:r>
              <m:r>
                <m:rPr>
                  <m:sty m:val="p"/>
                </m:rPr>
                <m:t>,</m:t>
              </m:r>
              <m:r>
                <m:t>i</m:t>
              </m:r>
            </m:sub>
            <m:sup>
              <m:r>
                <m:rPr>
                  <m:sty m:val="p"/>
                </m:rPr>
                <m:t>⊤</m:t>
              </m:r>
            </m:sup>
          </m:sSubSup>
          <m:r>
            <m:t>  </m:t>
          </m:r>
          <m:d>
            <m:dPr>
              <m:begChr m:val="("/>
              <m:sepChr m:val=""/>
              <m:endChr m:val=")"/>
              <m:grow/>
            </m:dPr>
            <m:e>
              <m:r>
                <m:t>19</m:t>
              </m:r>
            </m:e>
          </m:d>
        </m:oMath>
      </m:oMathPara>
      <w:bookmarkEnd w:id="54"/>
    </w:p>
    <w:p>
      <w:pPr>
        <w:pStyle w:val="FirstParagraph"/>
      </w:pPr>
      <w:r>
        <w:t xml:space="preserve">Here,</w:t>
      </w:r>
      <w:r>
        <w:t xml:space="preserve"> </w:t>
      </w:r>
      <m:oMath>
        <m:sSub>
          <m:e>
            <m:r>
              <m:t>c</m:t>
            </m:r>
          </m:e>
          <m:sub>
            <m:r>
              <m:rPr>
                <m:sty m:val="p"/>
              </m:rPr>
              <m:t>a</m:t>
            </m:r>
            <m:r>
              <m:rPr>
                <m:sty m:val="p"/>
              </m:rPr>
              <m:t>f</m:t>
            </m:r>
            <m:r>
              <m:rPr>
                <m:sty m:val="p"/>
              </m:rPr>
              <m:t>f</m:t>
            </m:r>
            <m:r>
              <m:rPr>
                <m:sty m:val="p"/>
              </m:rPr>
              <m:t>,</m:t>
            </m:r>
            <m:r>
              <m:t>i</m:t>
            </m:r>
          </m:sub>
        </m:sSub>
      </m:oMath>
      <w:r>
        <w:t xml:space="preserve"> </w:t>
      </w:r>
      <w:r>
        <w:t xml:space="preserve">denotes the affective components of context.</w:t>
      </w:r>
      <w:r>
        <w:t xml:space="preserve"> </w:t>
      </w:r>
      <w:r>
        <w:t xml:space="preserve">When affective context-to-feature learning is disabled, affective context does not add retrieval support beyond the ordinary context-to-feature pathway.</w:t>
      </w:r>
      <w:r>
        <w:t xml:space="preserve"> </w:t>
      </w:r>
      <w:r>
        <w:t xml:space="preserve">When film and task items share the marked affective feature and affective context-to-feature learning is enabled,</w:t>
      </w:r>
      <w:r>
        <w:t xml:space="preserve"> </w:t>
      </w:r>
      <w:hyperlink w:anchor="eq-aff-mcf-learning">
        <w:r>
          <w:rPr>
            <w:rStyle w:val="Hyperlink"/>
          </w:rPr>
          <w:t xml:space="preserve">Equation 19</w:t>
        </w:r>
      </w:hyperlink>
      <w:r>
        <w:t xml:space="preserve"> </w:t>
      </w:r>
      <w:r>
        <w:t xml:space="preserve">can amplify competition beyond temporal proximity alone.</w:t>
      </w:r>
    </w:p>
    <w:p>
      <w:pPr>
        <w:pStyle w:val="BodyText"/>
      </w:pPr>
      <w:r>
        <w:t xml:space="preserve">The simulations below vary the phase, reminder, retrieval-control, and affective settings described above while keeping the underlying item-context architecture fixed.</w:t>
      </w:r>
      <w:r>
        <w:t xml:space="preserve"> </w:t>
      </w:r>
      <w:r>
        <w:t xml:space="preserve">Because retrieval proceeds as a sequence of competitive samples terminated by a growing stop probability, task competitors can reduce film retrieval by winning individual retrieval competitions before search terminates.</w:t>
      </w:r>
    </w:p>
    <w:bookmarkEnd w:id="55"/>
    <w:bookmarkEnd w:id="56"/>
    <w:bookmarkStart w:id="67" w:name="simulations"/>
    <w:p>
      <w:pPr>
        <w:pStyle w:val="Heading1"/>
      </w:pPr>
      <w:r>
        <w:t xml:space="preserve">Simulations</w:t>
      </w:r>
    </w:p>
    <w:p>
      <w:pPr>
        <w:pStyle w:val="FirstParagraph"/>
      </w:pPr>
      <w:r>
        <w:t xml:space="preserve">The first rendered sweep included here orients the reader to the simulated phase structure before the later sections develop the final manuscript contrasts.</w:t>
      </w:r>
      <w:r>
        <w:t xml:space="preserve"> </w:t>
      </w:r>
      <w:r>
        <w:t xml:space="preserve">These plots are diagnostic outputs from the interference-strength sweep, not stand-alone evidence for the full intrusion-voluntary-memory dissociation.</w:t>
      </w:r>
      <w:r>
        <w:t xml:space="preserve"> </w:t>
      </w:r>
      <w:r>
        <w:t xml:space="preserve">The section scaffold below records what each simulation must establish before the final result text is written.</w:t>
      </w:r>
      <w:r>
        <w:t xml:space="preserve"> </w:t>
      </w:r>
      <w:r>
        <w:t xml:space="preserve">Each subsection specifies the core contrast, the primary readouts, and the main design decision still open at this stage.</w:t>
      </w:r>
    </w:p>
    <w:bookmarkStart w:id="60" w:name="fig-interference-sweep-spc"/>
    <w:p>
      <w:pPr>
        <w:pStyle w:val="FigureTitle"/>
      </w:pPr>
      <w:r>
        <w:t xml:space="preserve">Figure 2</w:t>
      </w:r>
    </w:p>
    <w:p>
      <w:pPr>
        <w:pStyle w:val="Caption"/>
      </w:pPr>
      <w:r>
        <w:t xml:space="preserve">Phase-resolved recall in the interference-strength sweep.</w:t>
      </w:r>
      <w:r>
        <w:t xml:space="preserve"> </w:t>
      </w:r>
      <w:r>
        <w:t xml:space="preserve">Serial-position curves show recall probability across the film, break, interference, and filler phases of the simulated paradigm, separately for no-reminder and reminder conditions.</w:t>
      </w:r>
      <w:r>
        <w:t xml:space="preserve"> </w:t>
      </w:r>
      <w:r>
        <w:t xml:space="preserve">Darker lines indicate stronger context-to-item learning for interference-task items.</w:t>
      </w:r>
      <w:r>
        <w:t xml:space="preserve"> </w:t>
      </w:r>
      <w:r>
        <w:t xml:space="preserve">The figure shows how the interference manipulation changes the distribution of retrieval across encoded phases, rather than only changing total film recall.</w:t>
      </w:r>
    </w:p>
    <w:p>
      <w:pPr>
        <w:pStyle w:val="FigureWithoutNote"/>
      </w:pPr>
      <w:r>
        <w:drawing>
          <wp:inline>
            <wp:extent cx="5943600" cy="2214422"/>
            <wp:effectExtent b="0" l="0" r="0" t="0"/>
            <wp:docPr descr="" title="" id="58" name="Picture"/>
            <a:graphic>
              <a:graphicData uri="http://schemas.openxmlformats.org/drawingml/2006/picture">
                <pic:pic>
                  <pic:nvPicPr>
                    <pic:cNvPr descr="figures/interference_mcf_scale_delay16_fit_no_shared_support_side_by_side_spc.png" id="59" name="Picture"/>
                    <pic:cNvPicPr>
                      <a:picLocks noChangeArrowheads="1" noChangeAspect="1"/>
                    </pic:cNvPicPr>
                  </pic:nvPicPr>
                  <pic:blipFill>
                    <a:blip r:embed="rId57"/>
                    <a:stretch>
                      <a:fillRect/>
                    </a:stretch>
                  </pic:blipFill>
                  <pic:spPr bwMode="auto">
                    <a:xfrm>
                      <a:off x="0" y="0"/>
                      <a:ext cx="5943600" cy="2214422"/>
                    </a:xfrm>
                    <a:prstGeom prst="rect">
                      <a:avLst/>
                    </a:prstGeom>
                    <a:noFill/>
                    <a:ln w="9525">
                      <a:noFill/>
                      <a:headEnd/>
                      <a:tailEnd/>
                    </a:ln>
                  </pic:spPr>
                </pic:pic>
              </a:graphicData>
            </a:graphic>
          </wp:inline>
        </w:drawing>
      </w:r>
    </w:p>
    <w:bookmarkEnd w:id="60"/>
    <w:bookmarkStart w:id="61" w:name="X6fcf3f39085e398ac9304fc9201661bcf62a397"/>
    <w:p>
      <w:pPr>
        <w:pStyle w:val="Heading2"/>
      </w:pPr>
      <w:r>
        <w:t xml:space="preserve">Simulation 1: Core Selective-Interference Dissociation</w:t>
      </w:r>
    </w:p>
    <w:p>
      <w:pPr>
        <w:pStyle w:val="FirstParagraph"/>
      </w:pPr>
      <w:r>
        <w:t xml:space="preserve">Premise: The basic selective-interference result is a 2 x 2 contrast between task competition and retrieval mode.</w:t>
      </w:r>
      <w:r>
        <w:t xml:space="preserve"> </w:t>
      </w:r>
      <w:r>
        <w:t xml:space="preserve">The section should compare weak or absent task competition with strong task competition under unguided retrieval and deliberate recall.</w:t>
      </w:r>
      <w:r>
        <w:t xml:space="preserve"> </w:t>
      </w:r>
      <w:r>
        <w:t xml:space="preserve">The core demonstration is that the same stored film episode and the same post-film task manipulation produce larger film-item impairment under unguided retrieval than under deliberate recall.</w:t>
      </w:r>
    </w:p>
    <w:p>
      <w:pPr>
        <w:pStyle w:val="BodyText"/>
      </w:pPr>
      <w:r>
        <w:t xml:space="preserve">Primary readouts: The main figure should show phase-resolved recall so the reader can see where retrieval probability is redistributed across film, task, and filler phases.</w:t>
      </w:r>
      <w:r>
        <w:t xml:space="preserve"> </w:t>
      </w:r>
      <w:r>
        <w:t xml:space="preserve">A compact summary should also show film-item access and impairment from baseline for each retrieval mode.</w:t>
      </w:r>
      <w:r>
        <w:t xml:space="preserve"> </w:t>
      </w:r>
      <w:r>
        <w:t xml:space="preserve">Task-competitor recall should be reported or visible enough to show that lost film access is competition-driven.</w:t>
      </w:r>
    </w:p>
    <w:p>
      <w:pPr>
        <w:pStyle w:val="BodyText"/>
      </w:pPr>
      <w:r>
        <w:t xml:space="preserve">Intended text take-away: This section establishes the core sufficiency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p>
      <w:pPr>
        <w:pStyle w:val="BodyText"/>
      </w:pPr>
      <w:r>
        <w:t xml:space="preserve">Open specification: The deliberate-recall settings used here need to be fixed before this section is written as a result.</w:t>
      </w:r>
      <w:r>
        <w:t xml:space="preserve"> </w:t>
      </w:r>
      <w:r>
        <w:t xml:space="preserve">Those settings should be strong enough to create a retrieval-mode contrast but simple enough that Simulation 2 can still isolate the separate control mechanisms.</w:t>
      </w:r>
    </w:p>
    <w:bookmarkEnd w:id="61"/>
    <w:bookmarkStart w:id="62" w:name="Xc677d8ae7f532696a9d0dc1c16d289e7eda8c6a"/>
    <w:p>
      <w:pPr>
        <w:pStyle w:val="Heading2"/>
      </w:pPr>
      <w:r>
        <w:t xml:space="preserve">Simulation 2: Control Mechanisms Underlying Deliberate-Recall Protection</w:t>
      </w:r>
    </w:p>
    <w:p>
      <w:pPr>
        <w:pStyle w:val="FirstParagraph"/>
      </w:pPr>
      <w:r>
        <w:t xml:space="preserve">Premise: Deliberate recall is not categorically protected.</w:t>
      </w:r>
      <w:r>
        <w:t xml:space="preserve"> </w:t>
      </w:r>
      <w:r>
        <w:t xml:space="preserve">Its relative sparing depends on control operations that make retrieval more film-directed.</w:t>
      </w:r>
      <w:r>
        <w:t xml:space="preserve"> </w:t>
      </w:r>
      <w:r>
        <w:t xml:space="preserve">This section should separate the contributions of film-directed start/context cueing, sharper selection through</w:t>
      </w:r>
      <w:r>
        <w:t xml:space="preserve"> </w:t>
      </w:r>
      <m:oMath>
        <m:r>
          <m:t>τ</m:t>
        </m:r>
      </m:oMath>
      <w:r>
        <w:t xml:space="preserve">, and target-monitoring or rejected-recall updating through</w:t>
      </w:r>
      <w:r>
        <w:t xml:space="preserve"> </w:t>
      </w:r>
      <m:oMath>
        <m:r>
          <m:t>κ</m:t>
        </m:r>
      </m:oMath>
      <w:r>
        <w:t xml:space="preserve"> </w:t>
      </w:r>
      <w:r>
        <w:t xml:space="preserve">if that mechanism remains in the simulation package.</w:t>
      </w:r>
    </w:p>
    <w:p>
      <w:pPr>
        <w:pStyle w:val="BodyText"/>
      </w:pPr>
      <w:r>
        <w:t xml:space="preserve">Primary readouts: The figure should show how each control lever changes film-item access and the phase-resolved organization of recall under a fixed task-competition setting.</w:t>
      </w:r>
      <w:r>
        <w:t xml:space="preserve"> </w:t>
      </w:r>
      <w:r>
        <w:t xml:space="preserve">The most useful contrast should include total film recall, task-competitor retrieval, and how closely recall remains tied to the film phase.</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unguided retrieval more closely.</w:t>
      </w:r>
    </w:p>
    <w:p>
      <w:pPr>
        <w:pStyle w:val="BodyText"/>
      </w:pPr>
      <w:r>
        <w:t xml:space="preserve">Open specification: Decide whether target-monitoring through</w:t>
      </w:r>
      <w:r>
        <w:t xml:space="preserve"> </w:t>
      </w:r>
      <m:oMath>
        <m:r>
          <m:t>κ</m:t>
        </m:r>
      </m:oMath>
      <w:r>
        <w:t xml:space="preserve"> </w:t>
      </w:r>
      <w:r>
        <w:t xml:space="preserve">is a core control mechanism or a sensitivity analysis.</w:t>
      </w:r>
      <w:r>
        <w:t xml:space="preserve"> </w:t>
      </w:r>
      <w:r>
        <w:t xml:space="preserve">The introduction currently emphasizes film-directed cueing and sharper selection more strongly than rejected-recall updating.</w:t>
      </w:r>
    </w:p>
    <w:bookmarkEnd w:id="62"/>
    <w:bookmarkStart w:id="63" w:name="Xd8f441f3cd8f126ee70b8b553c70cb32891d979"/>
    <w:p>
      <w:pPr>
        <w:pStyle w:val="Heading2"/>
      </w:pPr>
      <w:r>
        <w:t xml:space="preserve">Simulation 3: Competitor Strength and Contextual Overlap</w:t>
      </w:r>
    </w:p>
    <w:p>
      <w:pPr>
        <w:pStyle w:val="FirstParagraph"/>
      </w:pPr>
      <w:r>
        <w:t xml:space="preserve">Premise: An interference task becomes effective when it encodes competitors with enough learned support and with associated context states similar enough to film context.</w:t>
      </w:r>
      <w:r>
        <w:t xml:space="preserve"> </w:t>
      </w:r>
      <w:r>
        <w:t xml:space="preserve">This section asks what makes a task Tetris-like in model terms.</w:t>
      </w:r>
      <w:r>
        <w:t xml:space="preserve"> </w:t>
      </w:r>
      <w:r>
        <w:t xml:space="preserve">The design should separate task competitor strength from contextual overlap rather than letting one sweep carry both interpretations.</w:t>
      </w:r>
    </w:p>
    <w:p>
      <w:pPr>
        <w:pStyle w:val="BodyText"/>
      </w:pPr>
      <w:r>
        <w:t xml:space="preserve">Primary readouts: The figure should cross or juxtapose a task-strength manipulation with an overlap manipulation and show both film-item access and task-competitor retrieval.</w:t>
      </w:r>
      <w:r>
        <w:t xml:space="preserve"> </w:t>
      </w:r>
      <w:r>
        <w:t xml:space="preserve">Phase-resolved recall remains useful here because the model’s explanation depends on task items entering retrieval alongside film items.</w:t>
      </w:r>
    </w:p>
    <w:p>
      <w:pPr>
        <w:pStyle w:val="BodyText"/>
      </w:pPr>
      <w:r>
        <w:t xml:space="preserve">Intended text take-away: This section explains what makes interference effective.</w:t>
      </w:r>
      <w:r>
        <w:t xml:space="preserve"> </w:t>
      </w:r>
      <w:r>
        <w:t xml:space="preserve">The account should not reduce to generic distraction, list length, or task difficulty.</w:t>
      </w:r>
      <w:r>
        <w:t xml:space="preserve"> </w:t>
      </w:r>
      <w:r>
        <w:t xml:space="preserve">Competitor strength determines whether cued task items can win retrieval competitions.</w:t>
      </w:r>
      <w:r>
        <w:t xml:space="preserve"> </w:t>
      </w:r>
      <w:r>
        <w:t xml:space="preserve">Contextual overlap determines whether task competitors are cued alongside film items before their strength can impair film retrieval.</w:t>
      </w:r>
      <w:r>
        <w:t xml:space="preserve"> </w:t>
      </w:r>
      <w:r>
        <w:t xml:space="preserve">Affective matching can be used as a sensitivity extension if it is run as a specific manipulation, but it should not become the main explanation unless the simulations make it central.</w:t>
      </w:r>
    </w:p>
    <w:p>
      <w:pPr>
        <w:pStyle w:val="BodyText"/>
      </w:pPr>
      <w:r>
        <w:t xml:space="preserve">Open specification: Choose the primary operationalization of contextual overlap.</w:t>
      </w:r>
      <w:r>
        <w:t xml:space="preserve"> </w:t>
      </w:r>
      <w:r>
        <w:t xml:space="preserve">Candidates include task-phase drift, break/filler drift, reminder strength, and affective matching, but the section needs one main contrast and any others should be clearly secondary.</w:t>
      </w:r>
    </w:p>
    <w:bookmarkEnd w:id="63"/>
    <w:bookmarkStart w:id="64" w:name="Xb79b6d9c7815cdfa2786fb98ac16b20d71daf8e"/>
    <w:p>
      <w:pPr>
        <w:pStyle w:val="Heading2"/>
      </w:pPr>
      <w:r>
        <w:t xml:space="preserve">Simulation 4: Reminder Reinstatement and Delayed Interference</w:t>
      </w:r>
    </w:p>
    <w:p>
      <w:pPr>
        <w:pStyle w:val="FirstParagraph"/>
      </w:pPr>
      <w:r>
        <w:t xml:space="preserve">Premise: The delayed-reminder case applies the overlap mechanism after context has drifted away from the film.</w:t>
      </w:r>
      <w:r>
        <w:t xml:space="preserve"> </w:t>
      </w:r>
      <w:r>
        <w:t xml:space="preserve">A reminder reinstates film context before competitor encoding by applying sequential film-item cues without new learning.</w:t>
      </w:r>
    </w:p>
    <w:p>
      <w:pPr>
        <w:pStyle w:val="BodyText"/>
      </w:pPr>
      <w:r>
        <w:t xml:space="preserve">Primary readouts: The figure should show how weak versus strong reminder reinstatement changes phase-resolved recall and film-item access after a fixed task phase.</w:t>
      </w:r>
      <w:r>
        <w:t xml:space="preserve"> </w:t>
      </w:r>
      <w:r>
        <w:t xml:space="preserve">If delay or filler length is varied, the figure should make clear whether the effect comes from reinstatement strength, subsequent drift, or their combination.</w:t>
      </w:r>
    </w:p>
    <w:p>
      <w:pPr>
        <w:pStyle w:val="BodyText"/>
      </w:pPr>
      <w:r>
        <w:t xml:space="preserve">Intended text take-away: This section connects the model to post-reminder interventions.</w:t>
      </w:r>
      <w:r>
        <w:t xml:space="preserve"> </w:t>
      </w:r>
      <w:r>
        <w:t xml:space="preserve">The reminder is not treated as a special storage-disruption device.</w:t>
      </w:r>
      <w:r>
        <w:t xml:space="preserve"> </w:t>
      </w:r>
      <w:r>
        <w:t xml:space="preserve">It restores the contextual condition required for later competitor encoding to affect film-item retrieval.</w:t>
      </w:r>
    </w:p>
    <w:p>
      <w:pPr>
        <w:pStyle w:val="BodyText"/>
      </w:pPr>
      <w:r>
        <w:t xml:space="preserve">Open specification: Decide whether the main comparison is zero/weak reminder reinstatement versus strong reminder reinstatement, a reminder-strength sweep, a delay/drift sweep, or a compact factorial combination.</w:t>
      </w:r>
    </w:p>
    <w:bookmarkEnd w:id="64"/>
    <w:bookmarkStart w:id="65" w:name="Xa3f451a9d82748e70976ed4f14c9634de5024b1"/>
    <w:p>
      <w:pPr>
        <w:pStyle w:val="Heading2"/>
      </w:pPr>
      <w:r>
        <w:t xml:space="preserve">Simulation 5: Heterogeneity Across Recall-Like Test Formats</w:t>
      </w:r>
    </w:p>
    <w:p>
      <w:pPr>
        <w:pStyle w:val="FirstParagraph"/>
      </w:pPr>
      <w:r>
        <w:t xml:space="preserve">Premise: Intrusion diaries, vigilance-style monitoring, free recall, and cued recall differ in how much they rely on broad context-to-item search versus film-directed retrieval support.</w:t>
      </w:r>
      <w:r>
        <w:t xml:space="preserve"> </w:t>
      </w:r>
      <w:r>
        <w:t xml:space="preserve">This section maps the model’s retrieval-control mechanisms onto variation across recall-like empirical measures.</w:t>
      </w:r>
      <w:r>
        <w:t xml:space="preserve"> </w:t>
      </w:r>
      <w:r>
        <w:t xml:space="preserve">The section should only become a simulation result if each test format is assigned a concrete retrieval setting.</w:t>
      </w:r>
      <w:r>
        <w:t xml:space="preserve"> </w:t>
      </w:r>
      <w:r>
        <w:t xml:space="preserve">Candidate settings include unguided retrieval from ongoing context, monitoring with film-related cues, free recall with film-directed start cueing, and cued recall with stronger external support.</w:t>
      </w:r>
    </w:p>
    <w:p>
      <w:pPr>
        <w:pStyle w:val="BodyText"/>
      </w:pPr>
      <w:r>
        <w:t xml:space="preserve">Primary readouts: The figure should show a graded vulnerability profile across retrieval settings under the same stored associations.</w:t>
      </w:r>
      <w:r>
        <w:t xml:space="preserve"> </w:t>
      </w:r>
      <w:r>
        <w:t xml:space="preserve">The useful result is a continuum of film-item impairment across retrieval settings.</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across recall-like tests depending on how much the task supports film-directed retrieval.</w:t>
      </w:r>
    </w:p>
    <w:p>
      <w:pPr>
        <w:pStyle w:val="BodyText"/>
      </w:pPr>
      <w:r>
        <w:t xml:space="preserve">Open specification: The mapping from empirical test format to model setting is the main unresolved piece.</w:t>
      </w:r>
      <w:r>
        <w:t xml:space="preserve"> </w:t>
      </w:r>
      <w:r>
        <w:t xml:space="preserve">If the mapping remains qualitative, this material belongs in the discussion rather than as a numbered simulation.</w:t>
      </w:r>
    </w:p>
    <w:bookmarkEnd w:id="65"/>
    <w:bookmarkStart w:id="66" w:name="Xd899c74baf6ef599438daabd3dfd1a19bfff423"/>
    <w:p>
      <w:pPr>
        <w:pStyle w:val="Heading2"/>
      </w:pPr>
      <w:r>
        <w:t xml:space="preserve">Simulation 6: Probe-Driven Access in Recognition-Like Tests</w:t>
      </w:r>
    </w:p>
    <w:p>
      <w:pPr>
        <w:pStyle w:val="FirstParagraph"/>
      </w:pPr>
      <w:r>
        <w:t xml:space="preserve">Premise: Tests that supply a film item are a limiting case of voluntary access because they begin closer to the target item than broad recall does.</w:t>
      </w:r>
      <w:r>
        <w:t xml:space="preserve"> </w:t>
      </w:r>
      <w:r>
        <w:t xml:space="preserve">This section preserves the useful part of the old recognition result without treating probe-driven access as categorically protected.</w:t>
      </w:r>
      <w:r>
        <w:t xml:space="preserve"> </w:t>
      </w:r>
      <w:r>
        <w:t xml:space="preserve">The section should remain separate only if the simulation directly implements supplied-film-item cueing and contrasts it with broad context-to-feature search.</w:t>
      </w:r>
    </w:p>
    <w:p>
      <w:pPr>
        <w:pStyle w:val="BodyText"/>
      </w:pPr>
      <w:r>
        <w:t xml:space="preserve">Primary readouts: The figure should show that supplied film items can reinstate associated context and reduce exposure to task competitors under otherwise matched stored associations.</w:t>
      </w:r>
      <w:r>
        <w:t xml:space="preserve"> </w:t>
      </w:r>
      <w:r>
        <w:t xml:space="preserve">It should avoid implying a full recognition decision model unless such a mechanism is added.</w:t>
      </w:r>
    </w:p>
    <w:p>
      <w:pPr>
        <w:pStyle w:val="BodyText"/>
      </w:pPr>
      <w:r>
        <w:t xml:space="preserve">Intended text take-away: This section handles tests that supply a film item and recognition-like measures as a probe-driven access case.</w:t>
      </w:r>
      <w:r>
        <w:t xml:space="preserve"> </w:t>
      </w:r>
      <w:r>
        <w:t xml:space="preserve">The claim is that probe-driven access reduces exposure to contextual competition, not that recognition escapes the mechanism in every design or that all voluntary memory has the same protection.</w:t>
      </w:r>
    </w:p>
    <w:p>
      <w:pPr>
        <w:pStyle w:val="BodyText"/>
      </w:pPr>
      <w:r>
        <w:t xml:space="preserve">Open specification: Decide whether this section earns its own simulation or should be folded into Simulation 5 as one point on the retrieval-support continuum.</w:t>
      </w:r>
    </w:p>
    <w:bookmarkEnd w:id="66"/>
    <w:bookmarkEnd w:id="67"/>
    <w:bookmarkStart w:id="68" w:name="general-discussion"/>
    <w:p>
      <w:pPr>
        <w:pStyle w:val="Heading1"/>
      </w:pPr>
      <w:r>
        <w:t xml:space="preserve">General Discussion</w:t>
      </w:r>
    </w:p>
    <w:bookmarkEnd w:id="68"/>
    <w:bookmarkStart w:id="139" w:name="references"/>
    <w:p>
      <w:pPr>
        <w:pStyle w:val="Heading1"/>
      </w:pPr>
      <w:r>
        <w:t xml:space="preserve">References</w:t>
      </w:r>
    </w:p>
    <w:bookmarkStart w:id="138" w:name="refs"/>
    <w:bookmarkStart w:id="70"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69">
        <w:r>
          <w:rPr>
            <w:rStyle w:val="Hyperlink"/>
          </w:rPr>
          <w:t xml:space="preserve">https://doi.org/10.1016/j.jpsychires.2023.01.028</w:t>
        </w:r>
      </w:hyperlink>
    </w:p>
    <w:bookmarkEnd w:id="70"/>
    <w:bookmarkStart w:id="7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71">
        <w:r>
          <w:rPr>
            <w:rStyle w:val="Hyperlink"/>
          </w:rPr>
          <w:t xml:space="preserve">https://doi.org/10.1037/a0033722</w:t>
        </w:r>
      </w:hyperlink>
    </w:p>
    <w:bookmarkEnd w:id="72"/>
    <w:bookmarkStart w:id="7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73">
        <w:r>
          <w:rPr>
            <w:rStyle w:val="Hyperlink"/>
          </w:rPr>
          <w:t xml:space="preserve">https://doi.org/10.1037/0033-295X.103.4.670</w:t>
        </w:r>
      </w:hyperlink>
    </w:p>
    <w:bookmarkEnd w:id="74"/>
    <w:bookmarkStart w:id="7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75">
        <w:r>
          <w:rPr>
            <w:rStyle w:val="Hyperlink"/>
          </w:rPr>
          <w:t xml:space="preserve">https://doi.org/10.1037/a0018113</w:t>
        </w:r>
      </w:hyperlink>
    </w:p>
    <w:bookmarkEnd w:id="76"/>
    <w:bookmarkStart w:id="78"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77">
        <w:r>
          <w:rPr>
            <w:rStyle w:val="Hyperlink"/>
          </w:rPr>
          <w:t xml:space="preserve">https://doi.org/10.1037/rev0000334</w:t>
        </w:r>
      </w:hyperlink>
    </w:p>
    <w:bookmarkEnd w:id="78"/>
    <w:bookmarkStart w:id="80"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79">
        <w:r>
          <w:rPr>
            <w:rStyle w:val="Hyperlink"/>
          </w:rPr>
          <w:t xml:space="preserve">https://doi.org/10.1016/j.jbtep.2011.10.008</w:t>
        </w:r>
      </w:hyperlink>
    </w:p>
    <w:bookmarkEnd w:id="80"/>
    <w:bookmarkStart w:id="81"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81"/>
    <w:bookmarkStart w:id="83"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82">
        <w:r>
          <w:rPr>
            <w:rStyle w:val="Hyperlink"/>
          </w:rPr>
          <w:t xml:space="preserve">https://doi.org/10.1016/S0005-7967(99)00123-0</w:t>
        </w:r>
      </w:hyperlink>
    </w:p>
    <w:bookmarkEnd w:id="83"/>
    <w:bookmarkStart w:id="85"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84">
        <w:r>
          <w:rPr>
            <w:rStyle w:val="Hyperlink"/>
          </w:rPr>
          <w:t xml:space="preserve">https://doi.org/10.1016/j.actpsy.2007.11.002</w:t>
        </w:r>
      </w:hyperlink>
    </w:p>
    <w:bookmarkEnd w:id="85"/>
    <w:bookmarkStart w:id="87"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86">
        <w:r>
          <w:rPr>
            <w:rStyle w:val="Hyperlink"/>
          </w:rPr>
          <w:t xml:space="preserve">https://doi.org/10.1037/0096-3445.133.1.3</w:t>
        </w:r>
      </w:hyperlink>
    </w:p>
    <w:bookmarkEnd w:id="87"/>
    <w:bookmarkStart w:id="89"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88">
        <w:r>
          <w:rPr>
            <w:rStyle w:val="Hyperlink"/>
          </w:rPr>
          <w:t xml:space="preserve">https://doi.org/10.1371/journal.pone.0004153</w:t>
        </w:r>
      </w:hyperlink>
    </w:p>
    <w:bookmarkEnd w:id="89"/>
    <w:bookmarkStart w:id="91"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90">
        <w:r>
          <w:rPr>
            <w:rStyle w:val="Hyperlink"/>
          </w:rPr>
          <w:t xml:space="preserve">https://doi.org/10.1371/journal.pone.0013706</w:t>
        </w:r>
      </w:hyperlink>
    </w:p>
    <w:bookmarkEnd w:id="91"/>
    <w:bookmarkStart w:id="93"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92">
        <w:r>
          <w:rPr>
            <w:rStyle w:val="Hyperlink"/>
          </w:rPr>
          <w:t xml:space="preserve">https://doi.org/10.1016/j.brat.2017.03.018</w:t>
        </w:r>
      </w:hyperlink>
    </w:p>
    <w:bookmarkEnd w:id="93"/>
    <w:bookmarkStart w:id="95"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94">
        <w:r>
          <w:rPr>
            <w:rStyle w:val="Hyperlink"/>
          </w:rPr>
          <w:t xml:space="preserve">https://doi.org/10.1006/jmps.2001.1388</w:t>
        </w:r>
      </w:hyperlink>
    </w:p>
    <w:bookmarkEnd w:id="95"/>
    <w:bookmarkStart w:id="96"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96"/>
    <w:bookmarkStart w:id="9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97">
        <w:r>
          <w:rPr>
            <w:rStyle w:val="Hyperlink"/>
          </w:rPr>
          <w:t xml:space="preserve">https://doi.org/10.1038/mp.2017.23</w:t>
        </w:r>
      </w:hyperlink>
    </w:p>
    <w:bookmarkEnd w:id="98"/>
    <w:bookmarkStart w:id="100"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99">
        <w:r>
          <w:rPr>
            <w:rStyle w:val="Hyperlink"/>
          </w:rPr>
          <w:t xml:space="preserve">https://doi.org/10.1016/j.cpr.2018.08.005</w:t>
        </w:r>
      </w:hyperlink>
    </w:p>
    <w:bookmarkEnd w:id="100"/>
    <w:bookmarkStart w:id="102"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01">
        <w:r>
          <w:rPr>
            <w:rStyle w:val="Hyperlink"/>
          </w:rPr>
          <w:t xml:space="preserve">https://doi.org/10.1177/0956797615583071</w:t>
        </w:r>
      </w:hyperlink>
    </w:p>
    <w:bookmarkEnd w:id="102"/>
    <w:bookmarkStart w:id="104"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03">
        <w:r>
          <w:rPr>
            <w:rStyle w:val="Hyperlink"/>
          </w:rPr>
          <w:t xml:space="preserve">https://doi.org/10.1016/j.cpr.2016.04.010</w:t>
        </w:r>
      </w:hyperlink>
    </w:p>
    <w:bookmarkEnd w:id="104"/>
    <w:bookmarkStart w:id="105"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05"/>
    <w:bookmarkStart w:id="107"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06">
        <w:r>
          <w:rPr>
            <w:rStyle w:val="Hyperlink"/>
          </w:rPr>
          <w:t xml:space="preserve">https://doi.org/10.1002/cpp.2489</w:t>
        </w:r>
      </w:hyperlink>
    </w:p>
    <w:bookmarkEnd w:id="107"/>
    <w:bookmarkStart w:id="109"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08">
        <w:r>
          <w:rPr>
            <w:rStyle w:val="Hyperlink"/>
          </w:rPr>
          <w:t xml:space="preserve">https://doi.org/10.1016/j.jbtep.2019.01.006</w:t>
        </w:r>
      </w:hyperlink>
    </w:p>
    <w:bookmarkEnd w:id="109"/>
    <w:bookmarkStart w:id="111"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10">
        <w:r>
          <w:rPr>
            <w:rStyle w:val="Hyperlink"/>
          </w:rPr>
          <w:t xml:space="preserve">https://doi.org/10.1038/nn.2271</w:t>
        </w:r>
      </w:hyperlink>
    </w:p>
    <w:bookmarkEnd w:id="111"/>
    <w:bookmarkStart w:id="113"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12">
        <w:r>
          <w:rPr>
            <w:rStyle w:val="Hyperlink"/>
          </w:rPr>
          <w:t xml:space="preserve">https://doi.org/10.1002/acp.1611</w:t>
        </w:r>
      </w:hyperlink>
    </w:p>
    <w:bookmarkEnd w:id="113"/>
    <w:bookmarkStart w:id="115"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14">
        <w:r>
          <w:rPr>
            <w:rStyle w:val="Hyperlink"/>
          </w:rPr>
          <w:t xml:space="preserve">https://doi.org/10.1037/xge0000598</w:t>
        </w:r>
      </w:hyperlink>
    </w:p>
    <w:bookmarkEnd w:id="115"/>
    <w:bookmarkStart w:id="117"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16">
        <w:r>
          <w:rPr>
            <w:rStyle w:val="Hyperlink"/>
          </w:rPr>
          <w:t xml:space="preserve">https://doi.org/10.1177/2167702621998315</w:t>
        </w:r>
      </w:hyperlink>
    </w:p>
    <w:bookmarkEnd w:id="117"/>
    <w:bookmarkStart w:id="119"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18">
        <w:r>
          <w:rPr>
            <w:rStyle w:val="Hyperlink"/>
          </w:rPr>
          <w:t xml:space="preserve">https://doi.org/10.1037/a0039036</w:t>
        </w:r>
      </w:hyperlink>
    </w:p>
    <w:bookmarkEnd w:id="119"/>
    <w:bookmarkStart w:id="121"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20">
        <w:r>
          <w:rPr>
            <w:rStyle w:val="Hyperlink"/>
          </w:rPr>
          <w:t xml:space="preserve">https://doi.org/10.1037/a0014420</w:t>
        </w:r>
      </w:hyperlink>
    </w:p>
    <w:bookmarkEnd w:id="121"/>
    <w:bookmarkStart w:id="123"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22">
        <w:r>
          <w:rPr>
            <w:rStyle w:val="Hyperlink"/>
          </w:rPr>
          <w:t xml:space="preserve">https://doi.org/10.1016/j.neuropsychologia.2009.02.013</w:t>
        </w:r>
      </w:hyperlink>
    </w:p>
    <w:bookmarkEnd w:id="123"/>
    <w:bookmarkStart w:id="12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24">
        <w:r>
          <w:rPr>
            <w:rStyle w:val="Hyperlink"/>
          </w:rPr>
          <w:t xml:space="preserve">https://doi.org/10.3758/s13423-011-0086-9</w:t>
        </w:r>
      </w:hyperlink>
    </w:p>
    <w:bookmarkEnd w:id="125"/>
    <w:bookmarkStart w:id="12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26">
        <w:r>
          <w:rPr>
            <w:rStyle w:val="Hyperlink"/>
          </w:rPr>
          <w:t xml:space="preserve">https://doi.org/10.1037/a0013396</w:t>
        </w:r>
      </w:hyperlink>
    </w:p>
    <w:bookmarkEnd w:id="127"/>
    <w:bookmarkStart w:id="129"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28">
        <w:r>
          <w:rPr>
            <w:rStyle w:val="Hyperlink"/>
          </w:rPr>
          <w:t xml:space="preserve">https://doi.org/10.1037/rev0000132</w:t>
        </w:r>
      </w:hyperlink>
    </w:p>
    <w:bookmarkEnd w:id="129"/>
    <w:bookmarkStart w:id="131"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30">
        <w:r>
          <w:rPr>
            <w:rStyle w:val="Hyperlink"/>
          </w:rPr>
          <w:t xml:space="preserve">https://doi.org/10.1038/s41562-024-01956-y</w:t>
        </w:r>
      </w:hyperlink>
    </w:p>
    <w:bookmarkEnd w:id="131"/>
    <w:bookmarkStart w:id="133"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32">
        <w:r>
          <w:rPr>
            <w:rStyle w:val="Hyperlink"/>
          </w:rPr>
          <w:t xml:space="preserve">https://doi.org/10.1525/collabra.130791</w:t>
        </w:r>
      </w:hyperlink>
    </w:p>
    <w:bookmarkEnd w:id="133"/>
    <w:bookmarkStart w:id="135"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34">
        <w:r>
          <w:rPr>
            <w:rStyle w:val="Hyperlink"/>
          </w:rPr>
          <w:t xml:space="preserve">https://doi.org/10.1038/s41583-019-0150-4</w:t>
        </w:r>
      </w:hyperlink>
    </w:p>
    <w:bookmarkEnd w:id="135"/>
    <w:bookmarkStart w:id="137"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36">
        <w:r>
          <w:rPr>
            <w:rStyle w:val="Hyperlink"/>
          </w:rPr>
          <w:t xml:space="preserve">https://doi.org/10.1037/0278-7393.32.4.792</w:t>
        </w:r>
      </w:hyperlink>
    </w:p>
    <w:bookmarkEnd w:id="137"/>
    <w:bookmarkEnd w:id="138"/>
    <w:bookmarkEnd w:id="13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hyperlink" Id="rId112" Target="https://doi.org/10.1002/acp.1611" TargetMode="External" /><Relationship Type="http://schemas.openxmlformats.org/officeDocument/2006/relationships/hyperlink" Id="rId106" Target="https://doi.org/10.1002/cpp.2489" TargetMode="External" /><Relationship Type="http://schemas.openxmlformats.org/officeDocument/2006/relationships/hyperlink" Id="rId94" Target="https://doi.org/10.1006/jmps.2001.1388" TargetMode="External" /><Relationship Type="http://schemas.openxmlformats.org/officeDocument/2006/relationships/hyperlink" Id="rId82" Target="https://doi.org/10.1016/S0005-7967(99)00123-0" TargetMode="External" /><Relationship Type="http://schemas.openxmlformats.org/officeDocument/2006/relationships/hyperlink" Id="rId84" Target="https://doi.org/10.1016/j.actpsy.2007.11.002" TargetMode="External" /><Relationship Type="http://schemas.openxmlformats.org/officeDocument/2006/relationships/hyperlink" Id="rId92" Target="https://doi.org/10.1016/j.brat.2017.03.018" TargetMode="External" /><Relationship Type="http://schemas.openxmlformats.org/officeDocument/2006/relationships/hyperlink" Id="rId103" Target="https://doi.org/10.1016/j.cpr.2016.04.010" TargetMode="External" /><Relationship Type="http://schemas.openxmlformats.org/officeDocument/2006/relationships/hyperlink" Id="rId99" Target="https://doi.org/10.1016/j.cpr.2018.08.005" TargetMode="External" /><Relationship Type="http://schemas.openxmlformats.org/officeDocument/2006/relationships/hyperlink" Id="rId79" Target="https://doi.org/10.1016/j.jbtep.2011.10.008" TargetMode="External" /><Relationship Type="http://schemas.openxmlformats.org/officeDocument/2006/relationships/hyperlink" Id="rId108" Target="https://doi.org/10.1016/j.jbtep.2019.01.006" TargetMode="External" /><Relationship Type="http://schemas.openxmlformats.org/officeDocument/2006/relationships/hyperlink" Id="rId69" Target="https://doi.org/10.1016/j.jpsychires.2023.01.028" TargetMode="External" /><Relationship Type="http://schemas.openxmlformats.org/officeDocument/2006/relationships/hyperlink" Id="rId122" Target="https://doi.org/10.1016/j.neuropsychologia.2009.02.013" TargetMode="External" /><Relationship Type="http://schemas.openxmlformats.org/officeDocument/2006/relationships/hyperlink" Id="rId73" Target="https://doi.org/10.1037/0033-295X.103.4.670" TargetMode="External" /><Relationship Type="http://schemas.openxmlformats.org/officeDocument/2006/relationships/hyperlink" Id="rId86" Target="https://doi.org/10.1037/0096-3445.133.1.3" TargetMode="External" /><Relationship Type="http://schemas.openxmlformats.org/officeDocument/2006/relationships/hyperlink" Id="rId136" Target="https://doi.org/10.1037/0278-7393.32.4.792" TargetMode="External" /><Relationship Type="http://schemas.openxmlformats.org/officeDocument/2006/relationships/hyperlink" Id="rId126" Target="https://doi.org/10.1037/a0013396" TargetMode="External" /><Relationship Type="http://schemas.openxmlformats.org/officeDocument/2006/relationships/hyperlink" Id="rId120" Target="https://doi.org/10.1037/a0014420" TargetMode="External" /><Relationship Type="http://schemas.openxmlformats.org/officeDocument/2006/relationships/hyperlink" Id="rId75" Target="https://doi.org/10.1037/a0018113" TargetMode="External" /><Relationship Type="http://schemas.openxmlformats.org/officeDocument/2006/relationships/hyperlink" Id="rId71" Target="https://doi.org/10.1037/a0033722" TargetMode="External" /><Relationship Type="http://schemas.openxmlformats.org/officeDocument/2006/relationships/hyperlink" Id="rId118" Target="https://doi.org/10.1037/a0039036" TargetMode="External" /><Relationship Type="http://schemas.openxmlformats.org/officeDocument/2006/relationships/hyperlink" Id="rId128" Target="https://doi.org/10.1037/rev0000132" TargetMode="External" /><Relationship Type="http://schemas.openxmlformats.org/officeDocument/2006/relationships/hyperlink" Id="rId77" Target="https://doi.org/10.1037/rev0000334" TargetMode="External" /><Relationship Type="http://schemas.openxmlformats.org/officeDocument/2006/relationships/hyperlink" Id="rId114" Target="https://doi.org/10.1037/xge0000598" TargetMode="External" /><Relationship Type="http://schemas.openxmlformats.org/officeDocument/2006/relationships/hyperlink" Id="rId97" Target="https://doi.org/10.1038/mp.2017.23" TargetMode="External" /><Relationship Type="http://schemas.openxmlformats.org/officeDocument/2006/relationships/hyperlink" Id="rId110" Target="https://doi.org/10.1038/nn.2271" TargetMode="External" /><Relationship Type="http://schemas.openxmlformats.org/officeDocument/2006/relationships/hyperlink" Id="rId130" Target="https://doi.org/10.1038/s41562-024-01956-y" TargetMode="External" /><Relationship Type="http://schemas.openxmlformats.org/officeDocument/2006/relationships/hyperlink" Id="rId134" Target="https://doi.org/10.1038/s41583-019-0150-4" TargetMode="External" /><Relationship Type="http://schemas.openxmlformats.org/officeDocument/2006/relationships/hyperlink" Id="rId101" Target="https://doi.org/10.1177/0956797615583071" TargetMode="External" /><Relationship Type="http://schemas.openxmlformats.org/officeDocument/2006/relationships/hyperlink" Id="rId116" Target="https://doi.org/10.1177/2167702621998315" TargetMode="External" /><Relationship Type="http://schemas.openxmlformats.org/officeDocument/2006/relationships/hyperlink" Id="rId88" Target="https://doi.org/10.1371/journal.pone.0004153" TargetMode="External" /><Relationship Type="http://schemas.openxmlformats.org/officeDocument/2006/relationships/hyperlink" Id="rId90" Target="https://doi.org/10.1371/journal.pone.0013706" TargetMode="External" /><Relationship Type="http://schemas.openxmlformats.org/officeDocument/2006/relationships/hyperlink" Id="rId132" Target="https://doi.org/10.1525/collabra.130791" TargetMode="External" /><Relationship Type="http://schemas.openxmlformats.org/officeDocument/2006/relationships/hyperlink" Id="rId124"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02/acp.1611" TargetMode="External" /><Relationship Type="http://schemas.openxmlformats.org/officeDocument/2006/relationships/hyperlink" Id="rId106" Target="https://doi.org/10.1002/cpp.2489" TargetMode="External" /><Relationship Type="http://schemas.openxmlformats.org/officeDocument/2006/relationships/hyperlink" Id="rId94" Target="https://doi.org/10.1006/jmps.2001.1388" TargetMode="External" /><Relationship Type="http://schemas.openxmlformats.org/officeDocument/2006/relationships/hyperlink" Id="rId82" Target="https://doi.org/10.1016/S0005-7967(99)00123-0" TargetMode="External" /><Relationship Type="http://schemas.openxmlformats.org/officeDocument/2006/relationships/hyperlink" Id="rId84" Target="https://doi.org/10.1016/j.actpsy.2007.11.002" TargetMode="External" /><Relationship Type="http://schemas.openxmlformats.org/officeDocument/2006/relationships/hyperlink" Id="rId92" Target="https://doi.org/10.1016/j.brat.2017.03.018" TargetMode="External" /><Relationship Type="http://schemas.openxmlformats.org/officeDocument/2006/relationships/hyperlink" Id="rId103" Target="https://doi.org/10.1016/j.cpr.2016.04.010" TargetMode="External" /><Relationship Type="http://schemas.openxmlformats.org/officeDocument/2006/relationships/hyperlink" Id="rId99" Target="https://doi.org/10.1016/j.cpr.2018.08.005" TargetMode="External" /><Relationship Type="http://schemas.openxmlformats.org/officeDocument/2006/relationships/hyperlink" Id="rId79" Target="https://doi.org/10.1016/j.jbtep.2011.10.008" TargetMode="External" /><Relationship Type="http://schemas.openxmlformats.org/officeDocument/2006/relationships/hyperlink" Id="rId108" Target="https://doi.org/10.1016/j.jbtep.2019.01.006" TargetMode="External" /><Relationship Type="http://schemas.openxmlformats.org/officeDocument/2006/relationships/hyperlink" Id="rId69" Target="https://doi.org/10.1016/j.jpsychires.2023.01.028" TargetMode="External" /><Relationship Type="http://schemas.openxmlformats.org/officeDocument/2006/relationships/hyperlink" Id="rId122" Target="https://doi.org/10.1016/j.neuropsychologia.2009.02.013" TargetMode="External" /><Relationship Type="http://schemas.openxmlformats.org/officeDocument/2006/relationships/hyperlink" Id="rId73" Target="https://doi.org/10.1037/0033-295X.103.4.670" TargetMode="External" /><Relationship Type="http://schemas.openxmlformats.org/officeDocument/2006/relationships/hyperlink" Id="rId86" Target="https://doi.org/10.1037/0096-3445.133.1.3" TargetMode="External" /><Relationship Type="http://schemas.openxmlformats.org/officeDocument/2006/relationships/hyperlink" Id="rId136" Target="https://doi.org/10.1037/0278-7393.32.4.792" TargetMode="External" /><Relationship Type="http://schemas.openxmlformats.org/officeDocument/2006/relationships/hyperlink" Id="rId126" Target="https://doi.org/10.1037/a0013396" TargetMode="External" /><Relationship Type="http://schemas.openxmlformats.org/officeDocument/2006/relationships/hyperlink" Id="rId120" Target="https://doi.org/10.1037/a0014420" TargetMode="External" /><Relationship Type="http://schemas.openxmlformats.org/officeDocument/2006/relationships/hyperlink" Id="rId75" Target="https://doi.org/10.1037/a0018113" TargetMode="External" /><Relationship Type="http://schemas.openxmlformats.org/officeDocument/2006/relationships/hyperlink" Id="rId71" Target="https://doi.org/10.1037/a0033722" TargetMode="External" /><Relationship Type="http://schemas.openxmlformats.org/officeDocument/2006/relationships/hyperlink" Id="rId118" Target="https://doi.org/10.1037/a0039036" TargetMode="External" /><Relationship Type="http://schemas.openxmlformats.org/officeDocument/2006/relationships/hyperlink" Id="rId128" Target="https://doi.org/10.1037/rev0000132" TargetMode="External" /><Relationship Type="http://schemas.openxmlformats.org/officeDocument/2006/relationships/hyperlink" Id="rId77" Target="https://doi.org/10.1037/rev0000334" TargetMode="External" /><Relationship Type="http://schemas.openxmlformats.org/officeDocument/2006/relationships/hyperlink" Id="rId114" Target="https://doi.org/10.1037/xge0000598" TargetMode="External" /><Relationship Type="http://schemas.openxmlformats.org/officeDocument/2006/relationships/hyperlink" Id="rId97" Target="https://doi.org/10.1038/mp.2017.23" TargetMode="External" /><Relationship Type="http://schemas.openxmlformats.org/officeDocument/2006/relationships/hyperlink" Id="rId110" Target="https://doi.org/10.1038/nn.2271" TargetMode="External" /><Relationship Type="http://schemas.openxmlformats.org/officeDocument/2006/relationships/hyperlink" Id="rId130" Target="https://doi.org/10.1038/s41562-024-01956-y" TargetMode="External" /><Relationship Type="http://schemas.openxmlformats.org/officeDocument/2006/relationships/hyperlink" Id="rId134" Target="https://doi.org/10.1038/s41583-019-0150-4" TargetMode="External" /><Relationship Type="http://schemas.openxmlformats.org/officeDocument/2006/relationships/hyperlink" Id="rId101" Target="https://doi.org/10.1177/0956797615583071" TargetMode="External" /><Relationship Type="http://schemas.openxmlformats.org/officeDocument/2006/relationships/hyperlink" Id="rId116" Target="https://doi.org/10.1177/2167702621998315" TargetMode="External" /><Relationship Type="http://schemas.openxmlformats.org/officeDocument/2006/relationships/hyperlink" Id="rId88" Target="https://doi.org/10.1371/journal.pone.0004153" TargetMode="External" /><Relationship Type="http://schemas.openxmlformats.org/officeDocument/2006/relationships/hyperlink" Id="rId90" Target="https://doi.org/10.1371/journal.pone.0013706" TargetMode="External" /><Relationship Type="http://schemas.openxmlformats.org/officeDocument/2006/relationships/hyperlink" Id="rId132" Target="https://doi.org/10.1525/collabra.130791" TargetMode="External" /><Relationship Type="http://schemas.openxmlformats.org/officeDocument/2006/relationships/hyperlink" Id="rId124"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2026-05-22T12:01:49Z</dcterms:created>
  <dcterms:modified xsi:type="dcterms:W3CDTF">2026-05-22T12:01:49Z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