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items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film-related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 a source-context stream for emotional and neutral states and an emotion-dependent binding strength, allowing the same architecture to capture how emotional content changes the organization and success of recall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Variants also model strategic control over memory search, allowing the model to capture how retrieval goals and task demands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that overlap with film context, including states reinstated by reminders.</w:t>
      </w:r>
      <w:r>
        <w:t xml:space="preserve"> </w:t>
      </w:r>
      <w:r>
        <w:t xml:space="preserve">At retrieval, the current context state cues memory search, so competition depends on how strongly film and task episodes are associated with similar context states.</w:t>
      </w:r>
      <w:r>
        <w:t xml:space="preserve"> </w:t>
      </w:r>
      <w:r>
        <w:t xml:space="preserve">Deliberate recall can reduce this competition when retrieval begins from a more film-directed state and when selection favors film items over competitors.</w:t>
      </w:r>
      <w:r>
        <w:t xml:space="preserve"> </w:t>
      </w:r>
      <w:r>
        <w:t xml:space="preserve">The account therefore attributes the intrusion-voluntary-memory dissociation to different retrieval states applied to shared memory associations.</w:t>
      </w:r>
      <w:r>
        <w:t xml:space="preserve"> </w:t>
      </w:r>
      <w:r>
        <w:t xml:space="preserve">This reframes selective interference as a change in the competitive retrieval environment around the film, rather than as a change in the availability of the film representation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tests supplying a film item can be less vulnerable to interference, because the supplied item can reinstate its associated context instead of requiring retrieval to sample among film items and task competitors from a broad contextual cue.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bookmarkStart w:id="28" w:name="fig-retrieved-context-account"/>
    <w:p>
      <w:pPr>
        <w:pStyle w:val="FigureTitle"/>
      </w:pPr>
      <w:r>
        <w:t xml:space="preserve">Figure 1</w:t>
      </w:r>
    </w:p>
    <w:p>
      <w:pPr>
        <w:pStyle w:val="Caption"/>
      </w:pPr>
      <w:r>
        <w:rPr>
          <w:b/>
          <w:bCs/>
        </w:rPr>
        <w:t xml:space="preserve">Retrieved-context account of selective interference.</w:t>
      </w:r>
      <w:r>
        <w:t xml:space="preserve"> </w:t>
      </w:r>
      <w:r>
        <w:t xml:space="preserve">The model applies context drift, reminder-driven reinstatement, and retrieval control to explain how post-film tasks can reduce unguided access to film items while leaving deliberate recall relatively protected.</w:t>
      </w:r>
      <w:r>
        <w:t xml:space="preserve"> </w:t>
      </w:r>
      <w:r>
        <w:rPr>
          <w:b/>
          <w:bCs/>
        </w:rPr>
        <w:t xml:space="preserve">(A)</w:t>
      </w:r>
      <w:r>
        <w:t xml:space="preserve"> </w:t>
      </w:r>
      <w:r>
        <w:t xml:space="preserve">The simulated paradigm varies encoding material, post-film task, delay/reminder structure, and retrieval mode within a common trauma-film phase structure; dashed blocks mark phases that vary across immediate and delayed post-reminder designs.</w:t>
      </w:r>
      <w:r>
        <w:t xml:space="preserve"> </w:t>
      </w:r>
      <w:r>
        <w:rPr>
          <w:b/>
          <w:bCs/>
        </w:rPr>
        <w:t xml:space="preserve">(B)</w:t>
      </w:r>
      <w:r>
        <w:t xml:space="preserve"> </w:t>
      </w:r>
      <w:r>
        <w:t xml:space="preserve">Context states are shown as blocks associated with film, reminder, and task positions; task items become strong competitors when preserved or reminder-reinstated context overlaps with film-associated context and task associations are strong.</w:t>
      </w:r>
      <w:r>
        <w:t xml:space="preserve"> </w:t>
      </w:r>
      <w:r>
        <w:rPr>
          <w:b/>
          <w:bCs/>
        </w:rPr>
        <w:t xml:space="preserve">(C)</w:t>
      </w:r>
      <w:r>
        <w:t xml:space="preserve"> </w:t>
      </w:r>
      <w:r>
        <w:t xml:space="preserve">Feature-to-context memory (</w:t>
      </w:r>
      <m:oMath>
        <m:sSup>
          <m:e>
            <m:r>
              <m:t>M</m:t>
            </m:r>
          </m:e>
          <m:sup>
            <m:r>
              <m:t>F</m:t>
            </m:r>
            <m:r>
              <m:t>C</m:t>
            </m:r>
          </m:sup>
        </m:sSup>
      </m:oMath>
      <w:r>
        <w:t xml:space="preserve">) and context-to-feature memory (</w:t>
      </w:r>
      <m:oMath>
        <m:sSup>
          <m:e>
            <m:r>
              <m:t>M</m:t>
            </m:r>
          </m:e>
          <m:sup>
            <m:r>
              <m:t>C</m:t>
            </m:r>
            <m:r>
              <m:t>F</m:t>
            </m:r>
          </m:sup>
        </m:sSup>
      </m:oMath>
      <w:r>
        <w:t xml:space="preserve">) define reciprocal context-item pathways: recalled, reminded, or supplied items reinstate context, and current context cues competing candidates.</w:t>
      </w:r>
      <w:r>
        <w:t xml:space="preserve"> </w:t>
      </w:r>
      <w:r>
        <w:rPr>
          <w:b/>
          <w:bCs/>
        </w:rPr>
        <w:t xml:space="preserve">(D)</w:t>
      </w:r>
      <w:r>
        <w:t xml:space="preserve"> </w:t>
      </w:r>
      <w:r>
        <w:t xml:space="preserve">The same stored associations can support unguided retrieval or controlled retrieval, with film-directed cue construction and film-directed selection biasing access toward film items.</w:t>
      </w:r>
    </w:p>
    <w:p>
      <w:pPr>
        <w:pStyle w:val="FigureWithoutNote"/>
      </w:pPr>
      <w:r>
        <w:drawing>
          <wp:inline>
            <wp:extent cx="5943600" cy="6046348"/>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6046348"/>
                    </a:xfrm>
                    <a:prstGeom prst="rect">
                      <a:avLst/>
                    </a:prstGeom>
                    <a:noFill/>
                    <a:ln w="9525">
                      <a:noFill/>
                      <a:headEnd/>
                      <a:tailEnd/>
                    </a:ln>
                  </pic:spPr>
                </pic:pic>
              </a:graphicData>
            </a:graphic>
          </wp:inline>
        </w:drawing>
      </w:r>
    </w:p>
    <w:bookmarkEnd w:id="28"/>
    <w:p>
      <w:pPr>
        <w:pStyle w:val="AfterWithoutNote"/>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under matching source/emotional conditions.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the task adds strong competitors to the film’s retrieval environment.</w:t>
      </w:r>
    </w:p>
    <w:p>
      <w:pPr>
        <w:pStyle w:val="BodyText"/>
      </w:pPr>
      <w:r>
        <w:t xml:space="preserve">Context-to-item retrieval uses the current context state to cue candidate items.</w:t>
      </w:r>
      <w:r>
        <w:t xml:space="preserve"> </w:t>
      </w:r>
      <w:r>
        <w:t xml:space="preserve">When a retrieval context resembles states associated with both film items and task items, the same cue supports both sets.</w:t>
      </w:r>
      <w:r>
        <w:t xml:space="preserve"> </w:t>
      </w:r>
      <w:r>
        <w:t xml:space="preserve">Uncontrolled retrieval from ongoing context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source/emotional 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uses this same pathway to reinstate film-associated context before task encoding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r>
        <w:t xml:space="preserve"> </w:t>
      </w:r>
      <w:r>
        <w:t xml:space="preserve">Film-related cues during monitoring and tests that supply a film item use the same item-to-context pathway during later access.</w:t>
      </w:r>
      <w:r>
        <w:t xml:space="preserve"> </w:t>
      </w:r>
      <w:r>
        <w:t xml:space="preserve">They can pull retrieval context toward film-associated states or retrieve a supplied item’s associated context, reducing reliance on broad context-to-item sampling.</w:t>
      </w:r>
      <w:r>
        <w:t xml:space="preserve"> </w:t>
      </w:r>
      <w:r>
        <w:t xml:space="preserve">Interference items encoded later can add competitors to context-to-item retrieval, but they do not directly overwrite a film item’s own item-to-context association.</w:t>
      </w:r>
      <w:r>
        <w:t xml:space="preserve"> </w:t>
      </w:r>
      <w:r>
        <w:t xml:space="preserve">Recognition-like access is therefore less exposed to the contextual-competition mechanism that reduces uncontrolled retrieval from ongoing context, while deliberate free recall remains a controlled version of context-to-item search.</w:t>
      </w:r>
    </w:p>
    <w:p>
      <w:pPr>
        <w:pStyle w:val="BodyText"/>
      </w:pPr>
      <w:r>
        <w:t xml:space="preserve">Deliberate recall is protected only to the extent that retrieval control changes the search.</w:t>
      </w:r>
      <w:r>
        <w:t xml:space="preserve"> </w:t>
      </w:r>
      <w:r>
        <w:t xml:space="preserve">Like uncontrolled retrieval, deliberate recall uses context-to-item retrieval and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control can reduce that loss relative to uncontrolled retrieval from ongoing context.</w:t>
      </w:r>
    </w:p>
    <w:p>
      <w:pPr>
        <w:pStyle w:val="BodyText"/>
      </w:pPr>
      <w:r>
        <w:t xml:space="preserve">Emotional extensions of CMR add a source-context stream that can distinguish items encoded in emotional versus neutral states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source-only variant, this stream represents whether film and task items are associated with matching or different source/emotional context states.</w:t>
      </w:r>
      <w:r>
        <w:t xml:space="preserve"> </w:t>
      </w:r>
      <w:r>
        <w:t xml:space="preserve">The formal model specified next instantiates these commitments as phase-specific encoding, reminder-driven reinstatement, retrieval-mode and control settings, and source/emotional overlap.</w:t>
      </w:r>
    </w:p>
    <w:bookmarkEnd w:id="29"/>
    <w:bookmarkStart w:id="41" w:name="model-and-paradigm"/>
    <w:p>
      <w:pPr>
        <w:pStyle w:val="Heading1"/>
      </w:pPr>
      <w:r>
        <w:t xml:space="preserve">Model and Paradigm</w:t>
      </w:r>
    </w:p>
    <w:bookmarkStart w:id="31" w:name="representations-and-memory-architecture"/>
    <w:p>
      <w:pPr>
        <w:pStyle w:val="Heading2"/>
      </w:pPr>
      <w:r>
        <w:t xml:space="preserve">Representations and Memory Architecture</w:t>
      </w:r>
    </w:p>
    <w:p>
      <w:pPr>
        <w:pStyle w:val="FirstParagraph"/>
      </w:pPr>
      <w:r>
        <w:t xml:space="preserve">The model represents each study event as an orthonormal item vector</w:t>
      </w:r>
      <w:r>
        <w:t xml:space="preserve"> </w:t>
      </w:r>
      <m:oMath>
        <m:sSub>
          <m:e>
            <m:r>
              <m:t>f</m:t>
            </m:r>
          </m:e>
          <m:sub>
            <m:r>
              <m:t>i</m:t>
            </m:r>
          </m:sub>
        </m:sSub>
      </m:oMath>
      <w:r>
        <w:t xml:space="preserve">.</w:t>
      </w:r>
      <w:r>
        <w:t xml:space="preserve"> </w:t>
      </w:r>
      <w:r>
        <w:t xml:space="preserve">The selective-interference paradigm presents items across a fixed phase sequence: film, break, reminder, interference, filler, and retrieval.</w:t>
      </w:r>
      <w:r>
        <w:t xml:space="preserve"> </w:t>
      </w:r>
      <w:r>
        <w:t xml:space="preserve">Film items are the target items whose later access indexes intrusion-like or voluntary memory.</w:t>
      </w:r>
      <w:r>
        <w:t xml:space="preserve"> </w:t>
      </w:r>
      <w:r>
        <w:t xml:space="preserve">Interference items are later task events that can become competitors for film retrieval.</w:t>
      </w:r>
      <w:r>
        <w:t xml:space="preserve"> </w:t>
      </w:r>
      <w:r>
        <w:t xml:space="preserve">Each item also carries a source flag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indicating whether it belongs to the source/emotional class manipulated in a given simulation, and a target flag</w:t>
      </w:r>
      <w:r>
        <w:t xml:space="preserve"> </w:t>
      </w:r>
      <m:oMath>
        <m:sSub>
          <m:e>
            <m:r>
              <m:t>t</m:t>
            </m:r>
          </m:e>
          <m:sub>
            <m:r>
              <m:t>i</m:t>
            </m:r>
          </m:sub>
        </m:sSub>
        <m:r>
          <m:rPr>
            <m:sty m:val="p"/>
          </m:rPr>
          <m:t>∈</m:t>
        </m:r>
        <m:r>
          <m:rPr>
            <m:sty m:val="p"/>
          </m:rPr>
          <m:t>{</m:t>
        </m:r>
        <m:r>
          <m:t>0</m:t>
        </m:r>
        <m:r>
          <m:rPr>
            <m:sty m:val="p"/>
          </m:rPr>
          <m:t>,</m:t>
        </m:r>
        <m:r>
          <m:t>1</m:t>
        </m:r>
        <m:r>
          <m:rPr>
            <m:sty m:val="p"/>
          </m:rPr>
          <m:t>}</m:t>
        </m:r>
      </m:oMath>
      <w:r>
        <w:t xml:space="preserve"> </w:t>
      </w:r>
      <w:r>
        <w:t xml:space="preserve">indicating whether it is a film item.</w:t>
      </w:r>
    </w:p>
    <w:p>
      <w:pPr>
        <w:pStyle w:val="BodyText"/>
      </w:pPr>
      <w:r>
        <w:t xml:space="preserve">Two context streams evolve over the experiment.</w:t>
      </w:r>
      <w:r>
        <w:t xml:space="preserve"> </w:t>
      </w:r>
      <w:r>
        <w:t xml:space="preserve">Temporal context</w:t>
      </w:r>
      <w:r>
        <w:t xml:space="preserve"> </w:t>
      </w:r>
      <m:oMath>
        <m:sSup>
          <m:e>
            <m:r>
              <m:t>c</m:t>
            </m:r>
          </m:e>
          <m:sup>
            <m:r>
              <m:t>T</m:t>
            </m:r>
          </m:sup>
        </m:sSup>
      </m:oMath>
      <w:r>
        <w:t xml:space="preserve"> </w:t>
      </w:r>
      <w:r>
        <w:t xml:space="preserve">is a unit-length vector with a start-of-list unit and one unit for each item.</w:t>
      </w:r>
      <w:r>
        <w:t xml:space="preserve"> </w:t>
      </w:r>
      <w:r>
        <w:t xml:space="preserve">Source context</w:t>
      </w:r>
      <w:r>
        <w:t xml:space="preserve"> </w:t>
      </w:r>
      <m:oMath>
        <m:sSup>
          <m:e>
            <m:r>
              <m:t>c</m:t>
            </m:r>
          </m:e>
          <m:sup>
            <m:r>
              <m:t>S</m:t>
            </m:r>
          </m:sup>
        </m:sSup>
      </m:oMath>
      <w:r>
        <w:t xml:space="preserve"> </w:t>
      </w:r>
      <w:r>
        <w:t xml:space="preserve">is a unit-length vector with start, emotional/source, and neutral/source dimensions.</w:t>
      </w:r>
      <w:r>
        <w:t xml:space="preserve"> </w:t>
      </w:r>
      <w:r>
        <w:t xml:space="preserve">Both context streams begin in their start states.</w:t>
      </w:r>
      <w:r>
        <w:t xml:space="preserve"> </w:t>
      </w:r>
      <w:r>
        <w:t xml:space="preserve">As items are encoded or retrieved, context drifts toward the context associated with the current item.</w:t>
      </w:r>
    </w:p>
    <w:p>
      <w:pPr>
        <w:pStyle w:val="BodyText"/>
      </w:pPr>
      <w:r>
        <w:t xml:space="preserve">Four associative matrices link items to contexts.</w:t>
      </w:r>
      <w:r>
        <w:t xml:space="preserve"> </w:t>
      </w:r>
      <m:oMath>
        <m:sSup>
          <m:e>
            <m:r>
              <m:t>M</m:t>
            </m:r>
          </m:e>
          <m:sup>
            <m:r>
              <m:t>F</m:t>
            </m:r>
            <m:r>
              <m:t>C</m:t>
            </m:r>
            <m:r>
              <m:rPr>
                <m:sty m:val="p"/>
              </m:rPr>
              <m:t>,</m:t>
            </m:r>
            <m:r>
              <m:t>T</m:t>
            </m:r>
          </m:sup>
        </m:sSup>
      </m:oMath>
      <w:r>
        <w:t xml:space="preserve"> </w:t>
      </w:r>
      <w:r>
        <w:t xml:space="preserve">maps item features to temporal context and supports item-to-context reinstatement.</w:t>
      </w:r>
      <w:r>
        <w:t xml:space="preserve"> </w:t>
      </w:r>
      <m:oMath>
        <m:sSup>
          <m:e>
            <m:r>
              <m:t>M</m:t>
            </m:r>
          </m:e>
          <m:sup>
            <m:r>
              <m:t>C</m:t>
            </m:r>
            <m:r>
              <m:t>F</m:t>
            </m:r>
            <m:r>
              <m:rPr>
                <m:sty m:val="p"/>
              </m:rPr>
              <m:t>,</m:t>
            </m:r>
            <m:r>
              <m:t>T</m:t>
            </m:r>
          </m:sup>
        </m:sSup>
      </m:oMath>
      <w:r>
        <w:t xml:space="preserve"> </w:t>
      </w:r>
      <w:r>
        <w:t xml:space="preserve">maps temporal context to item features and supports context-to-item competition.</w:t>
      </w:r>
      <w:r>
        <w:t xml:space="preserve"> </w:t>
      </w:r>
      <m:oMath>
        <m:sSup>
          <m:e>
            <m:r>
              <m:t>M</m:t>
            </m:r>
          </m:e>
          <m:sup>
            <m:r>
              <m:t>F</m:t>
            </m:r>
            <m:r>
              <m:t>C</m:t>
            </m:r>
            <m:r>
              <m:rPr>
                <m:sty m:val="p"/>
              </m:rPr>
              <m:t>,</m:t>
            </m:r>
            <m:r>
              <m:t>S</m:t>
            </m:r>
          </m:sup>
        </m:sSup>
      </m:oMath>
      <w:r>
        <w:t xml:space="preserve"> </w:t>
      </w:r>
      <w:r>
        <w:t xml:space="preserve">and</w:t>
      </w:r>
      <w:r>
        <w:t xml:space="preserve"> </w:t>
      </w:r>
      <m:oMath>
        <m:sSup>
          <m:e>
            <m:r>
              <m:t>M</m:t>
            </m:r>
          </m:e>
          <m:sup>
            <m:r>
              <m:t>C</m:t>
            </m:r>
            <m:r>
              <m:t>F</m:t>
            </m:r>
            <m:r>
              <m:rPr>
                <m:sty m:val="p"/>
              </m:rPr>
              <m:t>,</m:t>
            </m:r>
            <m:r>
              <m:t>S</m:t>
            </m:r>
          </m:sup>
        </m:sSup>
      </m:oMath>
      <w:r>
        <w:t xml:space="preserve"> </w:t>
      </w:r>
      <w:r>
        <w:t xml:space="preserve">provide the corresponding item-to-source-context and source-context-to-item mappings.</w:t>
      </w:r>
      <w:r>
        <w:t xml:space="preserve"> </w:t>
      </w:r>
      <w:r>
        <w:t xml:space="preserve">The source pathway is the source-only eCMR extension used here: it can add source-based support for retrieval without making emotional/source status a hidden modulation of temporal learning.</w:t>
      </w:r>
    </w:p>
    <w:p>
      <w:pPr>
        <w:pStyle w:val="BodyText"/>
      </w:pPr>
      <w:hyperlink w:anchor="tbl-parameters">
        <w:r>
          <w:rPr>
            <w:rStyle w:val="Hyperlink"/>
          </w:rPr>
          <w:t xml:space="preserve">Table 1</w:t>
        </w:r>
      </w:hyperlink>
      <w:r>
        <w:t xml:space="preserve"> </w:t>
      </w:r>
      <w:r>
        <w:t xml:space="preserve">lists the model structures and parameters used throughout the simulations.</w:t>
      </w:r>
    </w:p>
    <w:bookmarkStart w:id="30" w:name="tbl-parameters"/>
    <w:p>
      <w:pPr>
        <w:pStyle w:val="FigureTitle"/>
      </w:pPr>
      <w:r>
        <w:t xml:space="preserve">Table 1</w:t>
      </w:r>
    </w:p>
    <w:p>
      <w:pPr>
        <w:pStyle w:val="Caption"/>
      </w:pPr>
      <w:r>
        <w:t xml:space="preserve">Model structures and parameters.</w:t>
      </w:r>
      <w:r>
        <w:t xml:space="preserve"> </w:t>
      </w:r>
      <w:r>
        <w:t xml:space="preserve">Base parameters are anchored by pooled source-only eCMR fits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Description</w:t>
            </w:r>
          </w:p>
        </w:tc>
      </w:tr>
      <w:tr>
        <w:tc>
          <w:tcPr/>
          <w:p>
            <w:pPr>
              <w:pStyle w:val="Compact"/>
            </w:pPr>
            <m:oMath>
              <m:sSup>
                <m:e>
                  <m:r>
                    <m:t>c</m:t>
                  </m:r>
                </m:e>
                <m:sup>
                  <m:r>
                    <m:t>T</m:t>
                  </m:r>
                </m:sup>
              </m:sSup>
            </m:oMath>
          </w:p>
        </w:tc>
        <w:tc>
          <w:tcPr/>
          <w:p>
            <w:pPr>
              <w:pStyle w:val="Compact"/>
            </w:pPr>
            <w:r>
              <w:t xml:space="preserve">temporal context</w:t>
            </w:r>
          </w:p>
        </w:tc>
        <w:tc>
          <w:tcPr/>
          <w:p>
            <w:pPr>
              <w:pStyle w:val="Compact"/>
            </w:pPr>
            <w:r>
              <w:t xml:space="preserve">Recency-weighted context stream with start and item units</w:t>
            </w:r>
          </w:p>
        </w:tc>
      </w:tr>
      <w:tr>
        <w:tc>
          <w:tcPr/>
          <w:p>
            <w:pPr>
              <w:pStyle w:val="Compact"/>
            </w:pPr>
            <m:oMath>
              <m:sSup>
                <m:e>
                  <m:r>
                    <m:t>c</m:t>
                  </m:r>
                </m:e>
                <m:sup>
                  <m:r>
                    <m:t>S</m:t>
                  </m:r>
                </m:sup>
              </m:sSup>
            </m:oMath>
          </w:p>
        </w:tc>
        <w:tc>
          <w:tcPr/>
          <w:p>
            <w:pPr>
              <w:pStyle w:val="Compact"/>
            </w:pPr>
            <w:r>
              <w:t xml:space="preserve">source context</w:t>
            </w:r>
          </w:p>
        </w:tc>
        <w:tc>
          <w:tcPr/>
          <w:p>
            <w:pPr>
              <w:pStyle w:val="Compact"/>
            </w:pPr>
            <w:r>
              <w:t xml:space="preserve">Source/emotional context stream with start, emotional/source, and neutral/source units</w:t>
            </w:r>
          </w:p>
        </w:tc>
      </w:tr>
      <w:tr>
        <w:tc>
          <w:tcPr/>
          <w:p>
            <w:pPr>
              <w:pStyle w:val="Compact"/>
            </w:pPr>
            <m:oMath>
              <m:sSub>
                <m:e>
                  <m:r>
                    <m:t>f</m:t>
                  </m:r>
                </m:e>
                <m:sub>
                  <m:r>
                    <m:t>i</m:t>
                  </m:r>
                </m:sub>
              </m:sSub>
            </m:oMath>
          </w:p>
        </w:tc>
        <w:tc>
          <w:tcPr/>
          <w:p>
            <w:pPr>
              <w:pStyle w:val="Compact"/>
            </w:pPr>
            <w:r>
              <w:t xml:space="preserve">item features</w:t>
            </w:r>
          </w:p>
        </w:tc>
        <w:tc>
          <w:tcPr/>
          <w:p>
            <w:pPr>
              <w:pStyle w:val="Compact"/>
            </w:pPr>
            <w:r>
              <w:t xml:space="preserve">Orthonormal representation of item</w:t>
            </w:r>
            <w:r>
              <w:t xml:space="preserve"> </w:t>
            </w:r>
            <m:oMath>
              <m:r>
                <m:t>i</m:t>
              </m:r>
            </m:oMath>
          </w:p>
        </w:tc>
      </w:tr>
      <w:tr>
        <w:tc>
          <w:tcPr/>
          <w:p>
            <w:pPr>
              <w:pStyle w:val="Compact"/>
            </w:pPr>
            <m:oMath>
              <m:sSub>
                <m:e>
                  <m:r>
                    <m:t>e</m:t>
                  </m:r>
                </m:e>
                <m:sub>
                  <m:r>
                    <m:t>i</m:t>
                  </m:r>
                </m:sub>
              </m:sSub>
            </m:oMath>
          </w:p>
        </w:tc>
        <w:tc>
          <w:tcPr/>
          <w:p>
            <w:pPr>
              <w:pStyle w:val="Compact"/>
            </w:pPr>
            <w:r>
              <w:t xml:space="preserve">source flag</w:t>
            </w:r>
          </w:p>
        </w:tc>
        <w:tc>
          <w:tcPr/>
          <w:p>
            <w:pPr>
              <w:pStyle w:val="Compact"/>
            </w:pPr>
            <w:r>
              <w:t xml:space="preserve">1 for source/emotional items, 0 for neutral/source items</w:t>
            </w:r>
          </w:p>
        </w:tc>
      </w:tr>
      <w:tr>
        <w:tc>
          <w:tcPr/>
          <w:p>
            <w:pPr>
              <w:pStyle w:val="Compact"/>
            </w:pPr>
            <m:oMath>
              <m:sSub>
                <m:e>
                  <m:r>
                    <m:t>t</m:t>
                  </m:r>
                </m:e>
                <m:sub>
                  <m:r>
                    <m:t>i</m:t>
                  </m:r>
                </m:sub>
              </m:sSub>
            </m:oMath>
          </w:p>
        </w:tc>
        <w:tc>
          <w:tcPr/>
          <w:p>
            <w:pPr>
              <w:pStyle w:val="Compact"/>
            </w:pPr>
            <w:r>
              <w:t xml:space="preserve">target flag</w:t>
            </w:r>
          </w:p>
        </w:tc>
        <w:tc>
          <w:tcPr/>
          <w:p>
            <w:pPr>
              <w:pStyle w:val="Compact"/>
            </w:pPr>
            <w:r>
              <w:t xml:space="preserve">1 for film items, 0 for non-film items</w:t>
            </w:r>
          </w:p>
        </w:tc>
      </w:tr>
      <w:tr>
        <w:tc>
          <w:tcPr/>
          <w:p>
            <w:pPr>
              <w:pStyle w:val="Compact"/>
            </w:pP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p>
        </w:tc>
        <w:tc>
          <w:tcPr/>
          <w:p>
            <w:pPr>
              <w:pStyle w:val="Compact"/>
            </w:pPr>
            <w:r>
              <w:t xml:space="preserve">temporal memories</w:t>
            </w:r>
          </w:p>
        </w:tc>
        <w:tc>
          <w:tcPr/>
          <w:p>
            <w:pPr>
              <w:pStyle w:val="Compact"/>
            </w:pPr>
            <w:r>
              <w:t xml:space="preserve">Item</w:t>
            </w:r>
            <w:r>
              <w:t xml:space="preserve"> </w:t>
            </w:r>
            <m:oMath>
              <m:r>
                <m:rPr>
                  <m:sty m:val="p"/>
                </m:rPr>
                <m:t>↔</m:t>
              </m:r>
            </m:oMath>
            <w:r>
              <w:t xml:space="preserve"> </w:t>
            </w:r>
            <w:r>
              <w:t xml:space="preserve">temporal-context associations</w:t>
            </w:r>
          </w:p>
        </w:tc>
      </w:tr>
      <w:tr>
        <w:tc>
          <w:tcPr/>
          <w:p>
            <w:pPr>
              <w:pStyle w:val="Compact"/>
            </w:pPr>
            <m:oMath>
              <m:sSup>
                <m:e>
                  <m:r>
                    <m:t>M</m:t>
                  </m:r>
                </m:e>
                <m:sup>
                  <m:r>
                    <m:t>F</m:t>
                  </m:r>
                  <m:r>
                    <m:t>C</m:t>
                  </m:r>
                  <m:r>
                    <m:rPr>
                      <m:sty m:val="p"/>
                    </m:rPr>
                    <m:t>,</m:t>
                  </m:r>
                  <m:r>
                    <m:t>S</m:t>
                  </m:r>
                </m:sup>
              </m:sSup>
            </m:oMath>
            <w:r>
              <w:t xml:space="preserve">,</w:t>
            </w:r>
            <w:r>
              <w:t xml:space="preserve"> </w:t>
            </w:r>
            <m:oMath>
              <m:sSup>
                <m:e>
                  <m:r>
                    <m:t>M</m:t>
                  </m:r>
                </m:e>
                <m:sup>
                  <m:r>
                    <m:t>C</m:t>
                  </m:r>
                  <m:r>
                    <m:t>F</m:t>
                  </m:r>
                  <m:r>
                    <m:rPr>
                      <m:sty m:val="p"/>
                    </m:rPr>
                    <m:t>,</m:t>
                  </m:r>
                  <m:r>
                    <m:t>S</m:t>
                  </m:r>
                </m:sup>
              </m:sSup>
            </m:oMath>
          </w:p>
        </w:tc>
        <w:tc>
          <w:tcPr/>
          <w:p>
            <w:pPr>
              <w:pStyle w:val="Compact"/>
            </w:pPr>
            <w:r>
              <w:t xml:space="preserve">source memories</w:t>
            </w:r>
          </w:p>
        </w:tc>
        <w:tc>
          <w:tcPr/>
          <w:p>
            <w:pPr>
              <w:pStyle w:val="Compact"/>
            </w:pPr>
            <w:r>
              <w:t xml:space="preserve">Item</w:t>
            </w:r>
            <w:r>
              <w:t xml:space="preserve"> </w:t>
            </w:r>
            <m:oMath>
              <m:r>
                <m:rPr>
                  <m:sty m:val="p"/>
                </m:rPr>
                <m:t>↔</m:t>
              </m:r>
            </m:oMath>
            <w:r>
              <w:t xml:space="preserve"> </w:t>
            </w:r>
            <w:r>
              <w:t xml:space="preserve">source-context associations</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reinstatement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during recall</w:t>
            </w:r>
          </w:p>
        </w:tc>
      </w:tr>
      <w:tr>
        <w:tc>
          <w:tcPr/>
          <w:p>
            <w:pPr>
              <w:pStyle w:val="Compact"/>
            </w:pPr>
            <m:oMath>
              <m:sSubSup>
                <m:e>
                  <m:r>
                    <m:t>β</m:t>
                  </m:r>
                </m:e>
                <m:sub>
                  <m:r>
                    <m:t>e</m:t>
                  </m:r>
                  <m:r>
                    <m:t>n</m:t>
                  </m:r>
                  <m:r>
                    <m:t>c</m:t>
                  </m:r>
                </m:sub>
                <m:sup>
                  <m:r>
                    <m:t>S</m:t>
                  </m:r>
                </m:sup>
              </m:sSubSup>
            </m:oMath>
          </w:p>
        </w:tc>
        <w:tc>
          <w:tcPr/>
          <w:p>
            <w:pPr>
              <w:pStyle w:val="Compact"/>
            </w:pPr>
            <w:r>
              <w:t xml:space="preserve">source encoding drift rate</w:t>
            </w:r>
          </w:p>
        </w:tc>
        <w:tc>
          <w:tcPr/>
          <w:p>
            <w:pPr>
              <w:pStyle w:val="Compact"/>
            </w:pPr>
            <w:r>
              <w:t xml:space="preserve">Source-context drift during encoding</w:t>
            </w:r>
          </w:p>
        </w:tc>
      </w:tr>
      <w:tr>
        <w:tc>
          <w:tcPr/>
          <w:p>
            <w:pPr>
              <w:pStyle w:val="Compact"/>
            </w:pPr>
            <m:oMath>
              <m:sSubSup>
                <m:e>
                  <m:r>
                    <m:t>β</m:t>
                  </m:r>
                </m:e>
                <m:sub>
                  <m:r>
                    <m:t>r</m:t>
                  </m:r>
                  <m:r>
                    <m:t>e</m:t>
                  </m:r>
                  <m:r>
                    <m:t>c</m:t>
                  </m:r>
                </m:sub>
                <m:sup>
                  <m:r>
                    <m:t>S</m:t>
                  </m:r>
                </m:sup>
              </m:sSubSup>
            </m:oMath>
          </w:p>
        </w:tc>
        <w:tc>
          <w:tcPr/>
          <w:p>
            <w:pPr>
              <w:pStyle w:val="Compact"/>
            </w:pPr>
            <w:r>
              <w:t xml:space="preserve">source recall drift rate</w:t>
            </w:r>
          </w:p>
        </w:tc>
        <w:tc>
          <w:tcPr/>
          <w:p>
            <w:pPr>
              <w:pStyle w:val="Compact"/>
            </w:pPr>
            <w:r>
              <w:t xml:space="preserve">Source-context drift during recall</w:t>
            </w:r>
          </w:p>
        </w:tc>
      </w:tr>
      <w:tr>
        <w:tc>
          <w:tcPr/>
          <w:p>
            <w:pPr>
              <w:pStyle w:val="Compact"/>
            </w:pPr>
            <m:oMath>
              <m:r>
                <m:t>γ</m:t>
              </m:r>
            </m:oMath>
          </w:p>
        </w:tc>
        <w:tc>
          <w:tcPr/>
          <w:p>
            <w:pPr>
              <w:pStyle w:val="Compact"/>
            </w:pPr>
            <w:r>
              <w:t xml:space="preserve">learning rate</w:t>
            </w:r>
          </w:p>
        </w:tc>
        <w:tc>
          <w:tcPr/>
          <w:p>
            <w:pPr>
              <w:pStyle w:val="Compact"/>
            </w:pPr>
            <w:r>
              <w:t xml:space="preserve">Feature-to-context learning rate</w:t>
            </w:r>
          </w:p>
        </w:tc>
      </w:tr>
      <w:tr>
        <w:tc>
          <w:tcPr/>
          <w:p>
            <w:pPr>
              <w:pStyle w:val="Compact"/>
            </w:pPr>
            <m:oMath>
              <m:r>
                <m:t>α</m:t>
              </m:r>
            </m:oMath>
          </w:p>
        </w:tc>
        <w:tc>
          <w:tcPr/>
          <w:p>
            <w:pPr>
              <w:pStyle w:val="Compact"/>
            </w:pPr>
            <w:r>
              <w:t xml:space="preserve">shared support</w:t>
            </w:r>
          </w:p>
        </w:tc>
        <w:tc>
          <w:tcPr/>
          <w:p>
            <w:pPr>
              <w:pStyle w:val="Compact"/>
            </w:pPr>
            <w:r>
              <w:t xml:space="preserve">Explicit 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item support</w:t>
            </w:r>
          </w:p>
        </w:tc>
        <w:tc>
          <w:tcPr/>
          <w:p>
            <w:pPr>
              <w:pStyle w:val="Compact"/>
            </w:pPr>
            <w:r>
              <w:t xml:space="preserve">Explicit 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context-to-item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the primacy boost</w:t>
            </w:r>
          </w:p>
        </w:tc>
      </w:tr>
      <w:tr>
        <w:tc>
          <w:tcPr/>
          <w:p>
            <w:pPr>
              <w:pStyle w:val="Compact"/>
            </w:pPr>
            <m:oMath>
              <m:r>
                <m:t>τ</m:t>
              </m:r>
            </m:oMath>
          </w:p>
        </w:tc>
        <w:tc>
          <w:tcPr/>
          <w:p>
            <w:pPr>
              <w:pStyle w:val="Compact"/>
            </w:pPr>
            <w:r>
              <w:t xml:space="preserve">choice sensitivity</w:t>
            </w:r>
          </w:p>
        </w:tc>
        <w:tc>
          <w:tcPr/>
          <w:p>
            <w:pPr>
              <w:pStyle w:val="Compact"/>
            </w:pPr>
            <w:r>
              <w:t xml:space="preserve">Exponent for Luce-style retrieval competition</w:t>
            </w:r>
          </w:p>
        </w:tc>
      </w:tr>
      <w:tr>
        <w:tc>
          <w:tcPr/>
          <w:p>
            <w:pPr>
              <w:pStyle w:val="Compact"/>
            </w:pPr>
            <m:oMath>
              <m:sSub>
                <m:e>
                  <m:r>
                    <m:t>ω</m:t>
                  </m:r>
                </m:e>
                <m:sub>
                  <m:r>
                    <m:t>S</m:t>
                  </m:r>
                </m:sub>
              </m:sSub>
            </m:oMath>
          </w:p>
        </w:tc>
        <w:tc>
          <w:tcPr/>
          <w:p>
            <w:pPr>
              <w:pStyle w:val="Compact"/>
            </w:pPr>
            <w:r>
              <w:t xml:space="preserve">source learning scale</w:t>
            </w:r>
          </w:p>
        </w:tc>
        <w:tc>
          <w:tcPr/>
          <w:p>
            <w:pPr>
              <w:pStyle w:val="Compact"/>
            </w:pPr>
            <w:r>
              <w:t xml:space="preserve">Strength of source-context-to-item learning for source/emotional items</w:t>
            </w:r>
          </w:p>
        </w:tc>
      </w:tr>
      <w:tr>
        <w:tc>
          <w:tcPr/>
          <w:p>
            <w:pPr>
              <w:pStyle w:val="Compact"/>
            </w:pPr>
            <m:oMath>
              <m:r>
                <m:t>κ</m:t>
              </m:r>
            </m:oMath>
          </w:p>
        </w:tc>
        <w:tc>
          <w:tcPr/>
          <w:p>
            <w:pPr>
              <w:pStyle w:val="Compact"/>
            </w:pPr>
            <w:r>
              <w:t xml:space="preserve">rejected-recall drift scale</w:t>
            </w:r>
          </w:p>
        </w:tc>
        <w:tc>
          <w:tcPr/>
          <w:p>
            <w:pPr>
              <w:pStyle w:val="Compact"/>
            </w:pPr>
            <w:r>
              <w:t xml:space="preserve">Context drift after recalling non-target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termination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Termination growth with recall position</w:t>
            </w:r>
          </w:p>
        </w:tc>
      </w:tr>
    </w:tbl>
    <w:bookmarkEnd w:id="30"/>
    <w:bookmarkEnd w:id="31"/>
    <w:bookmarkStart w:id="32"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r>
                <m:rPr>
                  <m:sty m:val="p"/>
                </m:rPr>
                <m:t>,</m:t>
              </m:r>
              <m:r>
                <m:t>T</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r>
                <m:rPr>
                  <m:sty m:val="p"/>
                </m:rPr>
                <m:t>,</m:t>
              </m:r>
              <m:r>
                <m:t>T</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context-to-item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support is explicit so that simulations can test whether selective-interference effects depend on learned contextual competition rather than hidden background support.</w:t>
      </w:r>
    </w:p>
    <w:p>
      <w:pPr>
        <w:pStyle w:val="BodyText"/>
      </w:pPr>
      <w:r>
        <w:t xml:space="preserve">For the source pathway, define each item’s source vector as:</w:t>
      </w:r>
    </w:p>
    <w:p>
      <w:pPr>
        <w:pStyle w:val="BodyText"/>
      </w:pPr>
      <m:oMathPara>
        <m:oMathParaPr>
          <m:jc m:val="center"/>
        </m:oMathParaPr>
        <m:oMath>
          <m:sSub>
            <m:e>
              <m:r>
                <m:t>u</m:t>
              </m:r>
            </m:e>
            <m:sub>
              <m:r>
                <m:t>i</m:t>
              </m:r>
            </m:sub>
          </m:sSub>
          <m:r>
            <m:rPr>
              <m:sty m:val="p"/>
            </m:rPr>
            <m:t>=</m:t>
          </m:r>
          <m:d>
            <m:dPr>
              <m:begChr m:val="["/>
              <m:sepChr m:val=""/>
              <m:endChr m:val="]"/>
              <m:grow/>
            </m:dPr>
            <m:e>
              <m:m>
                <m:mPr>
                  <m:baseJc m:val="center"/>
                  <m:plcHide m:val="on"/>
                  <m:mcs>
                    <m:mc>
                      <m:mcPr>
                        <m:mcJc m:val="center"/>
                        <m:count m:val="1"/>
                      </m:mcPr>
                    </m:mc>
                  </m:mcs>
                </m:mPr>
                <m:mr>
                  <m:e>
                    <m:r>
                      <m:t>0</m:t>
                    </m:r>
                  </m:e>
                </m:mr>
                <m:mr>
                  <m:e>
                    <m:sSub>
                      <m:e>
                        <m:r>
                          <m:t>e</m:t>
                        </m:r>
                      </m:e>
                      <m:sub>
                        <m:r>
                          <m:t>i</m:t>
                        </m:r>
                      </m:sub>
                    </m:sSub>
                  </m:e>
                </m:mr>
                <m:mr>
                  <m:e>
                    <m:r>
                      <m:t>1</m:t>
                    </m:r>
                    <m:r>
                      <m:rPr>
                        <m:sty m:val="p"/>
                      </m:rPr>
                      <m:t>−</m:t>
                    </m:r>
                    <m:sSub>
                      <m:e>
                        <m:r>
                          <m:t>e</m:t>
                        </m:r>
                      </m:e>
                      <m:sub>
                        <m:r>
                          <m:t>i</m:t>
                        </m:r>
                      </m:sub>
                    </m:sSub>
                  </m:e>
                </m:mr>
              </m:m>
            </m:e>
          </m:d>
        </m:oMath>
      </m:oMathPara>
    </w:p>
    <w:p>
      <w:pPr>
        <w:pStyle w:val="FirstParagraph"/>
      </w:pPr>
      <m:oMathPara>
        <m:oMathParaPr>
          <m:jc m:val="center"/>
        </m:oMathParaPr>
        <m:oMath>
          <m:sSubSup>
            <m:e>
              <m:r>
                <m:t>M</m:t>
              </m:r>
            </m:e>
            <m:sub>
              <m:r>
                <m:t>p</m:t>
              </m:r>
              <m:r>
                <m:t>r</m:t>
              </m:r>
              <m:r>
                <m:t>e</m:t>
              </m:r>
            </m:sub>
            <m:sup>
              <m:r>
                <m:t>F</m:t>
              </m:r>
              <m:r>
                <m:t>C</m:t>
              </m:r>
              <m:r>
                <m:rPr>
                  <m:sty m:val="p"/>
                </m:rPr>
                <m:t>,</m:t>
              </m:r>
              <m:r>
                <m:t>S</m:t>
              </m:r>
            </m:sup>
          </m:sSubSup>
          <m:d>
            <m:dPr>
              <m:begChr m:val="("/>
              <m:sepChr m:val=""/>
              <m:endChr m:val=")"/>
              <m:grow/>
            </m:dPr>
            <m:e>
              <m:r>
                <m:t>i</m:t>
              </m:r>
              <m:r>
                <m:rPr>
                  <m:sty m:val="p"/>
                </m:rPr>
                <m:t>,</m:t>
              </m:r>
              <m:r>
                <m:t>k</m:t>
              </m:r>
            </m:e>
          </m:d>
          <m:r>
            <m:rPr>
              <m:sty m:val="p"/>
            </m:rPr>
            <m:t>=</m:t>
          </m:r>
          <m:d>
            <m:dPr>
              <m:begChr m:val="("/>
              <m:sepChr m:val=""/>
              <m:endChr m:val=")"/>
              <m:grow/>
            </m:dPr>
            <m:e>
              <m:r>
                <m:t>1</m:t>
              </m:r>
              <m:r>
                <m:rPr>
                  <m:sty m:val="p"/>
                </m:rPr>
                <m:t>−</m:t>
              </m:r>
              <m:r>
                <m:t>γ</m:t>
              </m:r>
            </m:e>
          </m:d>
          <m:sSub>
            <m:e>
              <m:r>
                <m:t>u</m:t>
              </m:r>
            </m:e>
            <m:sub>
              <m:r>
                <m:t>i</m:t>
              </m:r>
              <m:r>
                <m:t>k</m:t>
              </m:r>
            </m:sub>
          </m:sSub>
        </m:oMath>
      </m:oMathPara>
    </w:p>
    <w:p>
      <w:pPr>
        <w:pStyle w:val="FirstParagraph"/>
      </w:pPr>
      <m:oMathPara>
        <m:oMathParaPr>
          <m:jc m:val="center"/>
        </m:oMathParaPr>
        <m:oMath>
          <m:sSubSup>
            <m:e>
              <m:r>
                <m:t>M</m:t>
              </m:r>
            </m:e>
            <m:sub>
              <m:r>
                <m:t>p</m:t>
              </m:r>
              <m:r>
                <m:t>r</m:t>
              </m:r>
              <m:r>
                <m:t>e</m:t>
              </m:r>
            </m:sub>
            <m:sup>
              <m:r>
                <m:t>C</m:t>
              </m:r>
              <m:r>
                <m:t>F</m:t>
              </m:r>
              <m:r>
                <m:rPr>
                  <m:sty m:val="p"/>
                </m:rPr>
                <m:t>,</m:t>
              </m:r>
              <m:r>
                <m:t>S</m:t>
              </m:r>
            </m:sup>
          </m:sSubSup>
          <m:d>
            <m:dPr>
              <m:begChr m:val="("/>
              <m:sepChr m:val=""/>
              <m:endChr m:val=")"/>
              <m:grow/>
            </m:dPr>
            <m:e>
              <m:r>
                <m:t>k</m:t>
              </m:r>
              <m:r>
                <m:rPr>
                  <m:sty m:val="p"/>
                </m:rPr>
                <m:t>,</m:t>
              </m:r>
              <m:r>
                <m:t>i</m:t>
              </m:r>
            </m:e>
          </m:d>
          <m:r>
            <m:rPr>
              <m:sty m:val="p"/>
            </m:rPr>
            <m:t>=</m:t>
          </m:r>
          <m:r>
            <m:t>0</m:t>
          </m:r>
        </m:oMath>
      </m:oMathPara>
    </w:p>
    <w:p>
      <w:pPr>
        <w:pStyle w:val="FirstParagraph"/>
      </w:pPr>
      <w:r>
        <w:t xml:space="preserve">The source pathway therefore begins with item-to-source associations but no source-to-item competition.</w:t>
      </w:r>
      <w:r>
        <w:t xml:space="preserve"> </w:t>
      </w:r>
      <w:r>
        <w:t xml:space="preserve">Source-based competition is learned during encoding and is controlled by the source learning scale.</w:t>
      </w:r>
    </w:p>
    <w:bookmarkEnd w:id="32"/>
    <w:bookmarkStart w:id="33" w:name="encoding-across-phases"/>
    <w:p>
      <w:pPr>
        <w:pStyle w:val="Heading2"/>
      </w:pPr>
      <w:r>
        <w:t xml:space="preserve">Encoding Across Phases</w:t>
      </w:r>
    </w:p>
    <w:p>
      <w:pPr>
        <w:pStyle w:val="FirstParagraph"/>
      </w:pPr>
      <w:r>
        <w:t xml:space="preserve">The film, break, interference, and filler phases use the same encoding operation with phase-specific rates.</w:t>
      </w:r>
      <w:r>
        <w:t xml:space="preserve"> </w:t>
      </w:r>
      <w:r>
        <w:t xml:space="preserve">Let</w:t>
      </w:r>
      <w:r>
        <w:t xml:space="preserve"> </w:t>
      </w:r>
      <m:oMath>
        <m:r>
          <m:t>p</m:t>
        </m:r>
      </m:oMath>
      <w:r>
        <w:t xml:space="preserve"> </w:t>
      </w:r>
      <w:r>
        <w:t xml:space="preserve">index the current phase and let</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denote that phase’s temporal drift rate and context-to-item learning scale.</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interference phase encodes task items whose effect depends on their strength and the similarity between their associated context states and film context.</w:t>
      </w:r>
    </w:p>
    <w:p>
      <w:pPr>
        <w:pStyle w:val="BodyText"/>
      </w:pPr>
      <w:r>
        <w:t xml:space="preserve">For item</w:t>
      </w:r>
      <w:r>
        <w:t xml:space="preserve"> </w:t>
      </w:r>
      <m:oMath>
        <m:r>
          <m:t>i</m:t>
        </m:r>
      </m:oMath>
      <w:r>
        <w:t xml:space="preserve">, temporal context input is retrieved by probing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The model normalizes the input to unit length.</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r>
                <m:t>c</m:t>
              </m:r>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interference items are encoded near or far from the film context.</w:t>
      </w:r>
    </w:p>
    <w:p>
      <w:pPr>
        <w:pStyle w:val="BodyText"/>
      </w:pPr>
      <w:r>
        <w:t xml:space="preserve">Feature-to-context associations update by an outer product after context updating:</w:t>
      </w:r>
    </w:p>
    <w:p>
      <w:pPr>
        <w:pStyle w:val="BodyText"/>
      </w:pPr>
      <m:oMathPara>
        <m:oMathParaPr>
          <m:jc m:val="center"/>
        </m:oMathParaPr>
        <m:oMath>
          <m:r>
            <m:t>Δ</m:t>
          </m:r>
          <m:sSup>
            <m:e>
              <m:r>
                <m:t>M</m:t>
              </m:r>
            </m:e>
            <m:sup>
              <m:r>
                <m:t>F</m:t>
              </m:r>
              <m:r>
                <m:t>C</m:t>
              </m:r>
              <m:r>
                <m:rPr>
                  <m:sty m:val="p"/>
                </m:rPr>
                <m:t>,</m:t>
              </m:r>
              <m:r>
                <m:t>T</m:t>
              </m:r>
            </m:sup>
          </m:sSup>
          <m:r>
            <m:rPr>
              <m:sty m:val="p"/>
            </m:rPr>
            <m:t>=</m:t>
          </m:r>
          <m:r>
            <m:t>γ</m:t>
          </m:r>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A primacy function weights temporal context-to-item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r>
                <m:rPr>
                  <m:sty m:val="p"/>
                </m:rPr>
                <m:t>,</m:t>
              </m:r>
              <m:r>
                <m:t>T</m:t>
              </m:r>
            </m:sup>
          </m:sSup>
          <m:r>
            <m:rPr>
              <m:sty m:val="p"/>
            </m:rPr>
            <m:t>=</m:t>
          </m:r>
          <m:sSub>
            <m:e>
              <m:r>
                <m:t>λ</m:t>
              </m:r>
            </m:e>
            <m:sub>
              <m:r>
                <m:t>p</m:t>
              </m:r>
            </m:sub>
          </m:sSub>
          <m:sSub>
            <m:e>
              <m:r>
                <m:t>ϕ</m:t>
              </m:r>
            </m:e>
            <m:sub>
              <m:r>
                <m:t>i</m:t>
              </m:r>
            </m:sub>
          </m:sSub>
          <m:sSubSup>
            <m:e>
              <m:r>
                <m:t>c</m:t>
              </m:r>
            </m:e>
            <m:sub>
              <m:r>
                <m:t>i</m:t>
              </m:r>
            </m:sub>
            <m:sup>
              <m:r>
                <m:t>T</m:t>
              </m:r>
            </m:sup>
          </m:sSubSup>
          <m:sSubSup>
            <m:e>
              <m:r>
                <m:t>f</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MCF learning scale.</w:t>
      </w:r>
      <w:r>
        <w:t xml:space="preserve"> </w:t>
      </w:r>
      <w:r>
        <w:t xml:space="preserve">Increasing</w:t>
      </w:r>
      <w:r>
        <w:t xml:space="preserve"> </w:t>
      </w:r>
      <m:oMath>
        <m:sSub>
          <m:e>
            <m:r>
              <m:t>λ</m:t>
            </m:r>
          </m:e>
          <m:sub>
            <m:r>
              <m:t>p</m:t>
            </m:r>
          </m:sub>
        </m:sSub>
      </m:oMath>
      <w:r>
        <w:t xml:space="preserve"> </w:t>
      </w:r>
      <w:r>
        <w:t xml:space="preserve">during interference makes task items stronger competitors for later context-to-item retrieval.</w:t>
      </w:r>
      <w:r>
        <w:t xml:space="preserve"> </w:t>
      </w:r>
      <w:r>
        <w:t xml:space="preserve">The primary source-only eCMR variant does not allow source/emotional status to modulate temporal context-to-item learning; temporal learning remains primacy-driven unless a later sensitivity analysis explicitly turns on broad temporal modulation.</w:t>
      </w:r>
    </w:p>
    <w:bookmarkEnd w:id="33"/>
    <w:bookmarkStart w:id="35" w:name="sourceemotional-context"/>
    <w:p>
      <w:pPr>
        <w:pStyle w:val="Heading2"/>
      </w:pPr>
      <w:r>
        <w:t xml:space="preserve">Source/Emotional Context</w:t>
      </w:r>
    </w:p>
    <w:p>
      <w:pPr>
        <w:pStyle w:val="FirstParagraph"/>
      </w:pPr>
      <w:r>
        <w:t xml:space="preserve">Source context updates in parallel with temporal context.</w:t>
      </w:r>
      <w:r>
        <w:t xml:space="preserve"> </w:t>
      </w:r>
      <w:r>
        <w:t xml:space="preserve">For item</w:t>
      </w:r>
      <w:r>
        <w:t xml:space="preserve"> </w:t>
      </w:r>
      <m:oMath>
        <m:r>
          <m:t>i</m:t>
        </m:r>
      </m:oMath>
      <w:r>
        <w:t xml:space="preserve">, source-context input is retrieved by probing</w:t>
      </w:r>
      <w:r>
        <w:t xml:space="preserve"> </w:t>
      </w:r>
      <m:oMath>
        <m:sSup>
          <m:e>
            <m:r>
              <m:t>M</m:t>
            </m:r>
          </m:e>
          <m:sup>
            <m:r>
              <m:t>F</m:t>
            </m:r>
            <m:r>
              <m:t>C</m:t>
            </m:r>
            <m:r>
              <m:rPr>
                <m:sty m:val="p"/>
              </m:rPr>
              <m:t>,</m:t>
            </m:r>
            <m:r>
              <m:t>S</m:t>
            </m:r>
          </m:sup>
        </m:sSup>
      </m:oMath>
      <w:r>
        <w:t xml:space="preserve">:</w:t>
      </w:r>
    </w:p>
    <w:p>
      <w:pPr>
        <w:pStyle w:val="BodyText"/>
      </w:pPr>
      <m:oMathPara>
        <m:oMathParaPr>
          <m:jc m:val="center"/>
        </m:oMathParaPr>
        <m:oMath>
          <m:sSubSup>
            <m:e>
              <m:r>
                <m:t>c</m:t>
              </m:r>
            </m:e>
            <m:sub>
              <m:r>
                <m:t>i</m:t>
              </m:r>
            </m:sub>
            <m:sup>
              <m:r>
                <m:t>I</m:t>
              </m:r>
              <m:r>
                <m:t>N</m:t>
              </m:r>
              <m:r>
                <m:rPr>
                  <m:sty m:val="p"/>
                </m:rPr>
                <m:t>,</m:t>
              </m:r>
              <m:r>
                <m:t>S</m:t>
              </m:r>
            </m:sup>
          </m:sSubSup>
          <m:r>
            <m:rPr>
              <m:sty m:val="p"/>
            </m:rPr>
            <m:t>=</m:t>
          </m:r>
          <m:sSup>
            <m:e>
              <m:r>
                <m:t>M</m:t>
              </m:r>
            </m:e>
            <m:sup>
              <m:r>
                <m:t>F</m:t>
              </m:r>
              <m:r>
                <m:t>C</m:t>
              </m:r>
              <m:r>
                <m:rPr>
                  <m:sty m:val="p"/>
                </m:rPr>
                <m:t>,</m:t>
              </m:r>
              <m:r>
                <m:t>S</m:t>
              </m:r>
            </m:sup>
          </m:sSup>
          <m:sSub>
            <m:e>
              <m:r>
                <m:t>f</m:t>
              </m:r>
            </m:e>
            <m:sub>
              <m:r>
                <m:t>i</m:t>
              </m:r>
            </m:sub>
          </m:sSub>
        </m:oMath>
      </m:oMathPara>
    </w:p>
    <w:p>
      <w:pPr>
        <w:pStyle w:val="FirstParagraph"/>
      </w:pPr>
      <w:r>
        <w:t xml:space="preserve">Source context then integrates this input:</w:t>
      </w:r>
    </w:p>
    <w:p>
      <w:pPr>
        <w:pStyle w:val="BodyText"/>
      </w:pPr>
      <m:oMathPara>
        <m:oMathParaPr>
          <m:jc m:val="center"/>
        </m:oMathParaPr>
        <m:oMath>
          <m:sSubSup>
            <m:e>
              <m:r>
                <m:t>c</m:t>
              </m:r>
            </m:e>
            <m:sub>
              <m:r>
                <m:t>i</m:t>
              </m:r>
            </m:sub>
            <m:sup>
              <m:r>
                <m:t>S</m:t>
              </m:r>
            </m:sup>
          </m:sSubSup>
          <m:r>
            <m:rPr>
              <m:sty m:val="p"/>
            </m:rPr>
            <m:t>=</m:t>
          </m:r>
          <m:sSubSup>
            <m:e>
              <m:r>
                <m:t>ρ</m:t>
              </m:r>
            </m:e>
            <m:sub>
              <m:r>
                <m:t>i</m:t>
              </m:r>
            </m:sub>
            <m:sup>
              <m:r>
                <m:t>S</m:t>
              </m:r>
            </m:sup>
          </m:sSubSup>
          <m:r>
            <m:t> </m:t>
          </m:r>
          <m:sSubSup>
            <m:e>
              <m:r>
                <m:t>c</m:t>
              </m:r>
            </m:e>
            <m:sub>
              <m:r>
                <m:t>i</m:t>
              </m:r>
              <m:r>
                <m:rPr>
                  <m:sty m:val="p"/>
                </m:rPr>
                <m:t>−</m:t>
              </m:r>
              <m:r>
                <m:t>1</m:t>
              </m:r>
            </m:sub>
            <m:sup>
              <m:r>
                <m:t>S</m:t>
              </m:r>
            </m:sup>
          </m:sSubSup>
          <m:r>
            <m:rPr>
              <m:sty m:val="p"/>
            </m:rPr>
            <m:t>+</m:t>
          </m:r>
          <m:sSubSup>
            <m:e>
              <m:r>
                <m:t>β</m:t>
              </m:r>
            </m:e>
            <m:sub>
              <m:r>
                <m:t>e</m:t>
              </m:r>
              <m:r>
                <m:t>n</m:t>
              </m:r>
              <m:r>
                <m:t>c</m:t>
              </m:r>
            </m:sub>
            <m:sup>
              <m:r>
                <m:t>S</m:t>
              </m:r>
            </m:sup>
          </m:sSubSup>
          <m:r>
            <m:t> </m:t>
          </m:r>
          <m:sSubSup>
            <m:e>
              <m:r>
                <m:t>c</m:t>
              </m:r>
            </m:e>
            <m:sub>
              <m:r>
                <m:t>i</m:t>
              </m:r>
            </m:sub>
            <m:sup>
              <m:r>
                <m:t>I</m:t>
              </m:r>
              <m:r>
                <m:t>N</m:t>
              </m:r>
              <m:r>
                <m:rPr>
                  <m:sty m:val="p"/>
                </m:rPr>
                <m:t>,</m:t>
              </m:r>
              <m:r>
                <m:t>S</m:t>
              </m:r>
            </m:sup>
          </m:sSubSup>
        </m:oMath>
      </m:oMathPara>
    </w:p>
    <w:p>
      <w:pPr>
        <w:pStyle w:val="FirstParagraph"/>
      </w:pPr>
      <w:r>
        <w:t xml:space="preserve">Source feature-to-context learning mirrors the temporal pathway:</w:t>
      </w:r>
    </w:p>
    <w:p>
      <w:pPr>
        <w:pStyle w:val="BodyText"/>
      </w:pPr>
      <m:oMathPara>
        <m:oMathParaPr>
          <m:jc m:val="center"/>
        </m:oMathParaPr>
        <m:oMath>
          <m:r>
            <m:t>Δ</m:t>
          </m:r>
          <m:sSup>
            <m:e>
              <m:r>
                <m:t>M</m:t>
              </m:r>
            </m:e>
            <m:sup>
              <m:r>
                <m:t>F</m:t>
              </m:r>
              <m:r>
                <m:t>C</m:t>
              </m:r>
              <m:r>
                <m:rPr>
                  <m:sty m:val="p"/>
                </m:rPr>
                <m:t>,</m:t>
              </m:r>
              <m:r>
                <m:t>S</m:t>
              </m:r>
            </m:sup>
          </m:sSup>
          <m:r>
            <m:rPr>
              <m:sty m:val="p"/>
            </m:rPr>
            <m:t>=</m:t>
          </m:r>
          <m:r>
            <m:t>γ</m:t>
          </m:r>
          <m:sSub>
            <m:e>
              <m:r>
                <m:t>f</m:t>
              </m:r>
            </m:e>
            <m:sub>
              <m:r>
                <m:t>i</m:t>
              </m:r>
            </m:sub>
          </m:sSub>
          <m:sSup>
            <m:e>
              <m:d>
                <m:dPr>
                  <m:begChr m:val="("/>
                  <m:sepChr m:val=""/>
                  <m:endChr m:val=")"/>
                  <m:grow/>
                </m:dPr>
                <m:e>
                  <m:sSubSup>
                    <m:e>
                      <m:r>
                        <m:t>c</m:t>
                      </m:r>
                    </m:e>
                    <m:sub>
                      <m:r>
                        <m:t>i</m:t>
                      </m:r>
                    </m:sub>
                    <m:sup>
                      <m:r>
                        <m:t>S</m:t>
                      </m:r>
                    </m:sup>
                  </m:sSubSup>
                </m:e>
              </m:d>
            </m:e>
            <m:sup>
              <m:r>
                <m:rPr>
                  <m:sty m:val="p"/>
                </m:rPr>
                <m:t>⊤</m:t>
              </m:r>
            </m:sup>
          </m:sSup>
        </m:oMath>
      </m:oMathPara>
    </w:p>
    <w:p>
      <w:pPr>
        <w:pStyle w:val="FirstParagraph"/>
      </w:pPr>
      <w:r>
        <w:t xml:space="preserve">Source context-to-item learning is gated by the source flag:</w:t>
      </w:r>
    </w:p>
    <w:p>
      <w:pPr>
        <w:pStyle w:val="BodyText"/>
      </w:pPr>
      <m:oMathPara>
        <m:oMathParaPr>
          <m:jc m:val="center"/>
        </m:oMathParaPr>
        <m:oMath>
          <m:r>
            <m:t>Δ</m:t>
          </m:r>
          <m:sSup>
            <m:e>
              <m:r>
                <m:t>M</m:t>
              </m:r>
            </m:e>
            <m:sup>
              <m:r>
                <m:t>C</m:t>
              </m:r>
              <m:r>
                <m:t>F</m:t>
              </m:r>
              <m:r>
                <m:rPr>
                  <m:sty m:val="p"/>
                </m:rPr>
                <m:t>,</m:t>
              </m:r>
              <m:r>
                <m:t>S</m:t>
              </m:r>
            </m:sup>
          </m:sSup>
          <m:r>
            <m:rPr>
              <m:sty m:val="p"/>
            </m:rPr>
            <m:t>=</m:t>
          </m:r>
          <m:sSub>
            <m:e>
              <m:r>
                <m:t>λ</m:t>
              </m:r>
            </m:e>
            <m:sub>
              <m:r>
                <m:t>p</m:t>
              </m:r>
            </m:sub>
          </m:sSub>
          <m:sSub>
            <m:e>
              <m:r>
                <m:t>ϕ</m:t>
              </m:r>
            </m:e>
            <m:sub>
              <m:r>
                <m:t>i</m:t>
              </m:r>
            </m:sub>
          </m:sSub>
          <m:sSub>
            <m:e>
              <m:r>
                <m:t>ω</m:t>
              </m:r>
            </m:e>
            <m:sub>
              <m:r>
                <m:t>S</m:t>
              </m:r>
            </m:sub>
          </m:sSub>
          <m:sSub>
            <m:e>
              <m:r>
                <m:t>e</m:t>
              </m:r>
            </m:e>
            <m:sub>
              <m:r>
                <m:t>i</m:t>
              </m:r>
            </m:sub>
          </m:sSub>
          <m:sSubSup>
            <m:e>
              <m:r>
                <m:t>c</m:t>
              </m:r>
            </m:e>
            <m:sub>
              <m:r>
                <m:t>i</m:t>
              </m:r>
            </m:sub>
            <m:sup>
              <m:r>
                <m:t>S</m:t>
              </m:r>
            </m:sup>
          </m:sSubSup>
          <m:sSubSup>
            <m:e>
              <m:r>
                <m:t>f</m:t>
              </m:r>
            </m:e>
            <m:sub>
              <m:r>
                <m:t>i</m:t>
              </m:r>
            </m:sub>
            <m:sup>
              <m:r>
                <m:rPr>
                  <m:sty m:val="p"/>
                </m:rPr>
                <m:t>⊤</m:t>
              </m:r>
            </m:sup>
          </m:sSubSup>
        </m:oMath>
      </m:oMathPara>
    </w:p>
    <w:p>
      <w:pPr>
        <w:pStyle w:val="FirstParagraph"/>
      </w:pPr>
      <w:r>
        <w:t xml:space="preserve">The parameter</w:t>
      </w:r>
      <w:r>
        <w:t xml:space="preserve"> </w:t>
      </w:r>
      <m:oMath>
        <m:sSub>
          <m:e>
            <m:r>
              <m:t>ω</m:t>
            </m:r>
          </m:e>
          <m:sub>
            <m:r>
              <m:t>S</m:t>
            </m:r>
          </m:sub>
        </m:sSub>
      </m:oMath>
      <w:r>
        <w:t xml:space="preserve"> </w:t>
      </w:r>
      <w:r>
        <w:t xml:space="preserve">controls source-context-to-item learning for source/emotional items.</w:t>
      </w:r>
      <w:r>
        <w:t xml:space="preserve"> </w:t>
      </w:r>
      <w:r>
        <w:t xml:space="preserve">When</w:t>
      </w:r>
      <w:r>
        <w:t xml:space="preserve"> </w:t>
      </w:r>
      <m:oMath>
        <m:sSub>
          <m:e>
            <m:r>
              <m:t>ω</m:t>
            </m:r>
          </m:e>
          <m:sub>
            <m:r>
              <m:t>S</m:t>
            </m:r>
          </m:sub>
        </m:sSub>
        <m:r>
          <m:rPr>
            <m:sty m:val="p"/>
          </m:rPr>
          <m:t>=</m:t>
        </m:r>
        <m:r>
          <m:t>0</m:t>
        </m:r>
      </m:oMath>
      <w:r>
        <w:t xml:space="preserve"> </w:t>
      </w:r>
      <w:r>
        <w:t xml:space="preserve">or when all items are neutral, the source pathway does not contribute source-to-item competition.</w:t>
      </w:r>
      <w:r>
        <w:t xml:space="preserve"> </w:t>
      </w:r>
      <w:r>
        <w:t xml:space="preserve">When film and interference items share source/emotional status, the source pathway can increase overlap between the context cues supporting target and competitor items beyond temporal proximity alone.</w:t>
      </w:r>
    </w:p>
    <w:p>
      <w:pPr>
        <w:pStyle w:val="BodyText"/>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w:t>
      </w:r>
      <w:r>
        <w:t xml:space="preserve"> </w:t>
      </w:r>
      <m:oMath>
        <m:sSup>
          <m:e>
            <m:r>
              <m:t>M</m:t>
            </m:r>
          </m:e>
          <m:sup>
            <m:r>
              <m:t>C</m:t>
            </m:r>
            <m:r>
              <m:t>F</m:t>
            </m:r>
          </m:sup>
        </m:sSup>
      </m:oMath>
      <w:r>
        <w:t xml:space="preserve"> </w:t>
      </w:r>
      <w:r>
        <w:t xml:space="preserve">learning scale, which controls competitor encoding strength.</w:t>
      </w:r>
    </w:p>
    <w:bookmarkStart w:id="34" w:name="tbl-phase-scales"/>
    <w:p>
      <w:pPr>
        <w:pStyle w:val="FigureTitle"/>
      </w:pPr>
      <w:r>
        <w:t xml:space="preserve">Table 2</w:t>
      </w:r>
    </w:p>
    <w:p>
      <w:pPr>
        <w:pStyle w:val="Caption"/>
      </w:pPr>
      <w:r>
        <w:t xml:space="preserve">Phase-specific encoding rates. 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m:oMath>
              <m:sSup>
                <m:e>
                  <m:r>
                    <m:t>M</m:t>
                  </m:r>
                </m:e>
                <m:sup>
                  <m:r>
                    <m:t>C</m:t>
                  </m:r>
                  <m:r>
                    <m:t>F</m:t>
                  </m:r>
                </m:sup>
              </m:sSup>
            </m:oMath>
            <w:r>
              <w:t xml:space="preserve"> </w:t>
            </w:r>
            <w:r>
              <w:t xml:space="preserve">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ϕ</m:t>
                  </m:r>
                </m:sup>
              </m:sSubSup>
            </m:oMath>
          </w:p>
        </w:tc>
        <w:tc>
          <w:tcPr/>
          <w:p>
            <w:pPr>
              <w:pStyle w:val="Compact"/>
            </w:pPr>
            <w:r>
              <w:t xml:space="preserve">Retention interval</w:t>
            </w:r>
          </w:p>
        </w:tc>
      </w:tr>
      <w:tr>
        <w:tc>
          <w:tcPr/>
          <w:p>
            <w:pPr>
              <w:pStyle w:val="Compact"/>
            </w:pPr>
            <w:r>
              <w:t xml:space="preserve">Interference</w:t>
            </w:r>
          </w:p>
        </w:tc>
        <w:tc>
          <w:tcPr/>
          <w:p>
            <w:pPr>
              <w:pStyle w:val="Compact"/>
            </w:pPr>
            <m:oMath>
              <m:sSubSup>
                <m:e>
                  <m:r>
                    <m:t>s</m:t>
                  </m:r>
                </m:e>
                <m:sub>
                  <m:r>
                    <m:rPr>
                      <m:nor/>
                      <m:sty m:val="p"/>
                    </m:rPr>
                    <m:t>int</m:t>
                  </m:r>
                </m:sub>
                <m:sup>
                  <m:r>
                    <m:t>β</m:t>
                  </m:r>
                </m:sup>
              </m:sSubSup>
              <m:r>
                <m:rPr>
                  <m:sty m:val="p"/>
                </m:rPr>
                <m:t>⋅</m:t>
              </m:r>
              <m:sSub>
                <m:e>
                  <m:r>
                    <m:t>β</m:t>
                  </m:r>
                </m:e>
                <m:sub>
                  <m:r>
                    <m:t>e</m:t>
                  </m:r>
                  <m:r>
                    <m:t>n</m:t>
                  </m:r>
                  <m:r>
                    <m:t>c</m:t>
                  </m:r>
                </m:sub>
              </m:sSub>
            </m:oMath>
          </w:p>
        </w:tc>
        <w:tc>
          <w:tcPr/>
          <w:p>
            <w:pPr>
              <w:pStyle w:val="Compact"/>
            </w:pPr>
            <m:oMath>
              <m:sSubSup>
                <m:e>
                  <m:r>
                    <m:t>s</m:t>
                  </m:r>
                </m:e>
                <m:sub>
                  <m:r>
                    <m:rPr>
                      <m:nor/>
                      <m:sty m:val="p"/>
                    </m:rPr>
                    <m:t>int</m:t>
                  </m:r>
                </m:sub>
                <m:sup>
                  <m:r>
                    <m:t>ϕ</m:t>
                  </m:r>
                </m:sup>
              </m:sSubSup>
            </m:oMath>
          </w:p>
        </w:tc>
        <w:tc>
          <w:tcPr/>
          <w:p>
            <w:pPr>
              <w:pStyle w:val="Compact"/>
            </w:pPr>
            <w:r>
              <w:t xml:space="preserve">Competitor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ϕ</m:t>
                  </m:r>
                </m:sup>
              </m:sSubSup>
            </m:oMath>
          </w:p>
        </w:tc>
        <w:tc>
          <w:tcPr/>
          <w:p>
            <w:pPr>
              <w:pStyle w:val="Compact"/>
            </w:pPr>
            <w:r>
              <w:t xml:space="preserve">Pre-recall buffer</w:t>
            </w:r>
          </w:p>
        </w:tc>
      </w:tr>
    </w:tbl>
    <w:bookmarkEnd w:id="34"/>
    <w:p>
      <w:pPr>
        <w:pStyle w:val="AfterWithoutNote"/>
      </w:pPr>
      <w:r>
        <w:t xml:space="preserve">The interference scales</w:t>
      </w:r>
      <w:r>
        <w:t xml:space="preserve"> </w:t>
      </w:r>
      <m:oMath>
        <m:sSubSup>
          <m:e>
            <m:r>
              <m:t>s</m:t>
            </m:r>
          </m:e>
          <m:sub>
            <m:r>
              <m:rPr>
                <m:nor/>
                <m:sty m:val="p"/>
              </m:rPr>
              <m:t>int</m:t>
            </m:r>
          </m:sub>
          <m:sup>
            <m:r>
              <m:t>β</m:t>
            </m:r>
          </m:sup>
        </m:sSubSup>
      </m:oMath>
      <w:r>
        <w:t xml:space="preserve"> </w:t>
      </w:r>
      <w:r>
        <w:t xml:space="preserve">and</w:t>
      </w:r>
      <w:r>
        <w:t xml:space="preserve"> </w:t>
      </w:r>
      <m:oMath>
        <m:sSubSup>
          <m:e>
            <m:r>
              <m:t>s</m:t>
            </m:r>
          </m:e>
          <m:sub>
            <m:r>
              <m:rPr>
                <m:nor/>
                <m:sty m:val="p"/>
              </m:rPr>
              <m:t>int</m:t>
            </m:r>
          </m:sub>
          <m:sup>
            <m:r>
              <m:t>ϕ</m:t>
            </m:r>
          </m:sup>
        </m:sSubSup>
      </m:oMath>
      <w:r>
        <w:t xml:space="preserve"> </w:t>
      </w:r>
      <w:r>
        <w:t xml:space="preserve">are central to the simulations.</w:t>
      </w:r>
      <w:r>
        <w:t xml:space="preserve"> </w:t>
      </w:r>
      <w:r>
        <w:t xml:space="preserve">The drift scale controls how much temporal context changes during interference encoding.</w:t>
      </w:r>
      <w:r>
        <w:t xml:space="preserve"> </w:t>
      </w:r>
      <w:r>
        <w:t xml:space="preserve">The MCF scale controls competitor encoding strength: stronger competitors capture more retrieval probability from film targets.</w:t>
      </w:r>
      <w:r>
        <w:t xml:space="preserve"> </w:t>
      </w:r>
      <w:r>
        <w:t xml:space="preserve">Together, drift and learning scales define whether interference is merely added experience or a set of strong competitors encoded into film-related context.</w:t>
      </w:r>
    </w:p>
    <w:bookmarkEnd w:id="35"/>
    <w:bookmarkStart w:id="36" w:name="reminder-reinstatement"/>
    <w:p>
      <w:pPr>
        <w:pStyle w:val="Heading2"/>
      </w:pPr>
      <w:r>
        <w:t xml:space="preserve">Reminder Reinstatement</w:t>
      </w:r>
    </w:p>
    <w:p>
      <w:pPr>
        <w:pStyle w:val="FirstParagraph"/>
      </w:pPr>
      <w:r>
        <w:t xml:space="preserve">In the trauma-film paradigm, a film clip presented as a reminder between the break and interference phases serves to reinstate the film’s encoding context.</w:t>
      </w:r>
      <w:r>
        <w:t xml:space="preserve"> </w:t>
      </w:r>
      <w:r>
        <w:t xml:space="preserve">The model implements this in two steps.</w:t>
      </w:r>
      <w:r>
        <w:t xml:space="preserve"> </w:t>
      </w:r>
      <w:r>
        <w:t xml:space="preserve">First, both context representations drift toward their respective start-of-list states: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rem</m:t>
              </m:r>
            </m:sub>
            <m:sup>
              <m:r>
                <m:t>S</m:t>
              </m:r>
            </m:sup>
          </m:sSubSup>
          <m:r>
            <m:rPr>
              <m:sty m:val="p"/>
            </m:rPr>
            <m:t>=</m:t>
          </m:r>
          <m:sSub>
            <m:e>
              <m:r>
                <m:t>ρ</m:t>
              </m:r>
            </m:e>
            <m:sub>
              <m:r>
                <m:t>S</m:t>
              </m:r>
            </m:sub>
          </m:sSub>
          <m:r>
            <m:t> </m:t>
          </m:r>
          <m:sSup>
            <m:e>
              <m:r>
                <m:t>c</m:t>
              </m:r>
            </m:e>
            <m:sup>
              <m:r>
                <m:t>S</m:t>
              </m:r>
            </m:sup>
          </m:sSup>
          <m:r>
            <m:rPr>
              <m:sty m:val="p"/>
            </m:rPr>
            <m:t>+</m:t>
          </m:r>
          <m:sSub>
            <m:e>
              <m:r>
                <m:t>β</m:t>
              </m:r>
            </m:e>
            <m:sub>
              <m:r>
                <m:rPr>
                  <m:nor/>
                  <m:sty m:val="p"/>
                </m:rPr>
                <m:t>rem,start</m:t>
              </m:r>
            </m:sub>
          </m:sSub>
          <m:r>
            <m:t> </m:t>
          </m:r>
          <m:sSubSup>
            <m:e>
              <m:r>
                <m:t>c</m:t>
              </m:r>
            </m:e>
            <m:sub>
              <m:r>
                <m:t>0</m:t>
              </m:r>
            </m:sub>
            <m:sup>
              <m:r>
                <m:t>S</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temporal states associated with film encoding.</w:t>
      </w:r>
    </w:p>
    <w:p>
      <w:pPr>
        <w:pStyle w:val="BodyText"/>
      </w:pPr>
      <w:r>
        <w:t xml:space="preserve">Second, each reminder item reinstates its specific temporal and source context through the same item-to-context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r>
                <m:rPr>
                  <m:sty m:val="p"/>
                </m:rPr>
                <m:t>,</m:t>
              </m:r>
              <m:r>
                <m:t>T</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S</m:t>
              </m:r>
            </m:sup>
          </m:sSubSup>
          <m:r>
            <m:rPr>
              <m:sty m:val="p"/>
            </m:rPr>
            <m:t>=</m:t>
          </m:r>
          <m:sSup>
            <m:e>
              <m:r>
                <m:t>M</m:t>
              </m:r>
            </m:e>
            <m:sup>
              <m:r>
                <m:t>F</m:t>
              </m:r>
              <m:r>
                <m:t>C</m:t>
              </m:r>
              <m:r>
                <m:rPr>
                  <m:sty m:val="p"/>
                </m:rPr>
                <m:t>,</m:t>
              </m:r>
              <m:r>
                <m:t>S</m:t>
              </m:r>
            </m:sup>
          </m:sSup>
          <m:sSub>
            <m:e>
              <m:r>
                <m:t>f</m:t>
              </m:r>
            </m:e>
            <m:sub>
              <m:r>
                <m:rPr>
                  <m:nor/>
                  <m:sty m:val="p"/>
                </m:rPr>
                <m:t>cue</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S</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r>
        <w:t xml:space="preserve">,</w:t>
      </w:r>
      <w:r>
        <w:t xml:space="preserve"> </w:t>
      </w:r>
      <m:oMath>
        <m:sSup>
          <m:e>
            <m:r>
              <m:t>M</m:t>
            </m:r>
          </m:e>
          <m:sup>
            <m:r>
              <m:t>F</m:t>
            </m:r>
            <m:r>
              <m:t>C</m:t>
            </m:r>
            <m:r>
              <m:rPr>
                <m:sty m:val="p"/>
              </m:rPr>
              <m:t>,</m:t>
            </m:r>
            <m:r>
              <m:t>S</m:t>
            </m:r>
          </m:sup>
        </m:sSup>
      </m:oMath>
      <w:r>
        <w:t xml:space="preserve">, and</w:t>
      </w:r>
      <w:r>
        <w:t xml:space="preserve"> </w:t>
      </w:r>
      <m:oMath>
        <m:sSup>
          <m:e>
            <m:r>
              <m:t>M</m:t>
            </m:r>
          </m:e>
          <m:sup>
            <m:r>
              <m:t>C</m:t>
            </m:r>
            <m:r>
              <m:t>F</m:t>
            </m:r>
            <m:r>
              <m:rPr>
                <m:sty m:val="p"/>
              </m:rPr>
              <m:t>,</m:t>
            </m:r>
            <m:r>
              <m:t>S</m:t>
            </m:r>
          </m:sup>
        </m:sSup>
      </m:oMath>
      <w:r>
        <w:t xml:space="preserve"> </w:t>
      </w:r>
      <w:r>
        <w:t xml:space="preserve">remain unchanged.</w:t>
      </w:r>
      <w:r>
        <w:t xml:space="preserve"> </w:t>
      </w:r>
      <w:r>
        <w:t xml:space="preserve">This distinction mirrors the clinical logic of a reminder cue — it reactivates the memory without adding new content.</w:t>
      </w:r>
    </w:p>
    <w:p>
      <w:pPr>
        <w:pStyle w:val="BodyText"/>
      </w:pPr>
      <w:r>
        <w:t xml:space="preserve">The reminder mechanism has a direct consequence for interference.</w:t>
      </w:r>
      <w:r>
        <w:t xml:space="preserve"> </w:t>
      </w:r>
      <w:r>
        <w:t xml:space="preserve">By pulling context back toward film-associated states, the reminder makes interference items encoded immediately afterward associated with temporal and potentially source context similar to the film context.</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between the context cues supporting film targets and interference competitors.</w:t>
      </w:r>
      <w:r>
        <w:t xml:space="preserve"> </w:t>
      </w:r>
      <w:r>
        <w:t xml:space="preserve">Delayed-interference simulations therefore manipulate reminder reinstatement as a graded overlap mechanism rather than as an all-or-none reactivation window.</w:t>
      </w:r>
    </w:p>
    <w:bookmarkEnd w:id="36"/>
    <w:bookmarkStart w:id="37" w:name="retrieval-and-termination"/>
    <w:p>
      <w:pPr>
        <w:pStyle w:val="Heading2"/>
      </w:pPr>
      <w:r>
        <w:t xml:space="preserve">Retrieval and Termination</w:t>
      </w:r>
    </w:p>
    <w:p>
      <w:pPr>
        <w:pStyle w:val="FirstParagraph"/>
      </w:pPr>
      <w:r>
        <w:t xml:space="preserve">Context-to-item retrieval underlies both intrusion-like retrieval and deliberate free recall.</w:t>
      </w:r>
      <w:r>
        <w:t xml:space="preserve"> </w:t>
      </w:r>
      <w:r>
        <w:t xml:space="preserve">At the start of retrieval, both context streams drift toward their initial states:</w:t>
      </w:r>
    </w:p>
    <w:p>
      <w:pPr>
        <w:pStyle w:val="BodyText"/>
      </w:pPr>
      <m:oMathPara>
        <m:oMathParaPr>
          <m:jc m:val="center"/>
        </m:oMathParaPr>
        <m:oMath>
          <m:sSubSup>
            <m:e>
              <m:r>
                <m:t>c</m:t>
              </m:r>
            </m:e>
            <m:sub>
              <m:r>
                <m:rPr>
                  <m:nor/>
                  <m:sty m:val="p"/>
                </m:rPr>
                <m:t>start</m:t>
              </m:r>
            </m:sub>
            <m:sup>
              <m:r>
                <m:t>T</m:t>
              </m:r>
            </m:sup>
          </m:sSubSup>
          <m:r>
            <m:rPr>
              <m:sty m:val="p"/>
            </m:rPr>
            <m:t>=</m:t>
          </m:r>
          <m:r>
            <m:t>ρ</m:t>
          </m:r>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start</m:t>
              </m:r>
            </m:sub>
            <m:sup>
              <m:r>
                <m:t>S</m:t>
              </m:r>
            </m:sup>
          </m:sSubSup>
          <m:r>
            <m:rPr>
              <m:sty m:val="p"/>
            </m:rPr>
            <m:t>=</m:t>
          </m:r>
          <m:sSub>
            <m:e>
              <m:r>
                <m:t>ρ</m:t>
              </m:r>
            </m:e>
            <m:sub>
              <m:r>
                <m:t>S</m:t>
              </m:r>
            </m:sub>
          </m:sSub>
          <m:r>
            <m:t> </m:t>
          </m:r>
          <m:sSubSup>
            <m:e>
              <m:r>
                <m:t>c</m:t>
              </m:r>
            </m:e>
            <m:sub>
              <m:r>
                <m:t>N</m:t>
              </m:r>
            </m:sub>
            <m:sup>
              <m:r>
                <m:t>S</m:t>
              </m:r>
            </m:sup>
          </m:sSubSup>
          <m:r>
            <m:rPr>
              <m:sty m:val="p"/>
            </m:rPr>
            <m:t>+</m:t>
          </m:r>
          <m:sSub>
            <m:e>
              <m:r>
                <m:t>β</m:t>
              </m:r>
            </m:e>
            <m:sub>
              <m:r>
                <m:t>s</m:t>
              </m:r>
              <m:r>
                <m:t>t</m:t>
              </m:r>
              <m:r>
                <m:t>a</m:t>
              </m:r>
              <m:r>
                <m:t>r</m:t>
              </m:r>
              <m:r>
                <m:t>t</m:t>
              </m:r>
            </m:sub>
          </m:sSub>
          <m:r>
            <m:t> </m:t>
          </m:r>
          <m:sSubSup>
            <m:e>
              <m:r>
                <m:t>c</m:t>
              </m:r>
            </m:e>
            <m:sub>
              <m:r>
                <m:t>0</m:t>
              </m:r>
            </m:sub>
            <m:sup>
              <m:r>
                <m:t>S</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source contexts then cue all recallable items through</w:t>
      </w:r>
      <w:r>
        <w:t xml:space="preserve"> </w:t>
      </w:r>
      <m:oMath>
        <m:sSup>
          <m:e>
            <m:r>
              <m:t>M</m:t>
            </m:r>
          </m:e>
          <m:sup>
            <m:r>
              <m:t>C</m:t>
            </m:r>
            <m:r>
              <m:t>F</m:t>
            </m:r>
            <m:r>
              <m:rPr>
                <m:sty m:val="p"/>
              </m:rPr>
              <m:t>,</m:t>
            </m:r>
            <m:r>
              <m:t>T</m:t>
            </m:r>
          </m:sup>
        </m:sSup>
      </m:oMath>
      <w:r>
        <w:t xml:space="preserve"> </w:t>
      </w:r>
      <w:r>
        <w:t xml:space="preserve">and</w:t>
      </w:r>
      <w:r>
        <w:t xml:space="preserve"> </w:t>
      </w:r>
      <m:oMath>
        <m:sSup>
          <m:e>
            <m:r>
              <m:t>M</m:t>
            </m:r>
          </m:e>
          <m:sup>
            <m:r>
              <m:t>C</m:t>
            </m:r>
            <m:r>
              <m:t>F</m:t>
            </m:r>
            <m:r>
              <m:rPr>
                <m:sty m:val="p"/>
              </m:rPr>
              <m:t>,</m:t>
            </m:r>
            <m:r>
              <m:t>S</m:t>
            </m:r>
          </m:sup>
        </m:s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r>
                        <m:rPr>
                          <m:sty m:val="p"/>
                        </m:rPr>
                        <m:t>,</m:t>
                      </m:r>
                      <m:r>
                        <m:t>T</m:t>
                      </m:r>
                    </m:sup>
                  </m:sSup>
                  <m:sSup>
                    <m:e>
                      <m:r>
                        <m:t>c</m:t>
                      </m:r>
                    </m:e>
                    <m:sup>
                      <m:r>
                        <m:t>T</m:t>
                      </m:r>
                    </m:sup>
                  </m:sSup>
                </m:e>
              </m:d>
            </m:e>
            <m:sub>
              <m:r>
                <m:t>i</m:t>
              </m:r>
            </m:sub>
          </m:sSub>
          <m:sSub>
            <m:e>
              <m:r>
                <m:t>r</m:t>
              </m:r>
            </m:e>
            <m:sub>
              <m:r>
                <m:t>i</m:t>
              </m:r>
            </m:sub>
          </m:sSub>
        </m:oMath>
      </m:oMathPara>
    </w:p>
    <w:p>
      <w:pPr>
        <w:pStyle w:val="FirstParagraph"/>
      </w:pPr>
      <m:oMathPara>
        <m:oMathParaPr>
          <m:jc m:val="center"/>
        </m:oMathParaPr>
        <m:oMath>
          <m:sSubSup>
            <m:e>
              <m:r>
                <m:t>a</m:t>
              </m:r>
            </m:e>
            <m:sub>
              <m:r>
                <m:t>i</m:t>
              </m:r>
            </m:sub>
            <m:sup>
              <m:r>
                <m:t>S</m:t>
              </m:r>
            </m:sup>
          </m:sSubSup>
          <m:r>
            <m:rPr>
              <m:sty m:val="p"/>
            </m:rPr>
            <m:t>=</m:t>
          </m:r>
          <m:sSub>
            <m:e>
              <m:d>
                <m:dPr>
                  <m:begChr m:val="["/>
                  <m:sepChr m:val=""/>
                  <m:endChr m:val="]"/>
                  <m:grow/>
                </m:dPr>
                <m:e>
                  <m:sSup>
                    <m:e>
                      <m:r>
                        <m:t>M</m:t>
                      </m:r>
                    </m:e>
                    <m:sup>
                      <m:r>
                        <m:t>C</m:t>
                      </m:r>
                      <m:r>
                        <m:t>F</m:t>
                      </m:r>
                      <m:r>
                        <m:rPr>
                          <m:sty m:val="p"/>
                        </m:rPr>
                        <m:t>,</m:t>
                      </m:r>
                      <m:r>
                        <m:t>S</m:t>
                      </m:r>
                    </m:sup>
                  </m:sSup>
                  <m:sSup>
                    <m:e>
                      <m:r>
                        <m:t>c</m:t>
                      </m:r>
                    </m:e>
                    <m:sup>
                      <m:r>
                        <m:t>S</m:t>
                      </m:r>
                    </m:sup>
                  </m:sSup>
                </m:e>
              </m:d>
            </m:e>
            <m:sub>
              <m:r>
                <m:t>i</m:t>
              </m:r>
            </m:sub>
          </m:sSub>
          <m:sSub>
            <m:e>
              <m:r>
                <m:t>r</m:t>
              </m:r>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S</m:t>
              </m:r>
            </m:sup>
          </m:sSubSup>
        </m:oMath>
      </m:oMathPara>
    </w:p>
    <w:p>
      <w:pPr>
        <w:pStyle w:val="FirstParagraph"/>
      </w:pPr>
      <w:r>
        <w:t xml:space="preserve">Here,</w:t>
      </w:r>
      <w:r>
        <w:t xml:space="preserve"> </w:t>
      </w:r>
      <m:oMath>
        <m:sSub>
          <m:e>
            <m:r>
              <m:t>r</m:t>
            </m:r>
          </m:e>
          <m:sub>
            <m:r>
              <m:t>i</m:t>
            </m:r>
          </m:sub>
        </m:sSub>
      </m:oMath>
      <w:r>
        <w:t xml:space="preserve"> </w:t>
      </w:r>
      <w:r>
        <w:t xml:space="preserve">is a binary mask indicating whether item</w:t>
      </w:r>
      <w:r>
        <w:t xml:space="preserve"> </w:t>
      </w:r>
      <m:oMath>
        <m:r>
          <m:t>i</m:t>
        </m:r>
      </m:oMath>
      <w:r>
        <w:t xml:space="preserve"> </w:t>
      </w:r>
      <w:r>
        <w:t xml:space="preserve">is currently recallable.</w:t>
      </w:r>
      <w:r>
        <w:t xml:space="preserve"> </w:t>
      </w:r>
      <w:r>
        <w:t xml:space="preserve">Because all recallable items contribute to the denominator, encoding additional competitors in contextually similar states dilutes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 with a small lower bound</w:t>
      </w:r>
      <w:r>
        <w:t xml:space="preserve"> </w:t>
      </w:r>
      <m:oMath>
        <m:r>
          <m:t>ϵ</m:t>
        </m:r>
      </m:oMath>
      <w:r>
        <w:t xml:space="preserve"> </w:t>
      </w:r>
      <w:r>
        <w:t xml:space="preserve">applied for numerical stability:</w:t>
      </w:r>
    </w:p>
    <w:p>
      <w:pPr>
        <w:pStyle w:val="BodyText"/>
      </w:pPr>
      <m:oMathPara>
        <m:oMathParaPr>
          <m:jc m:val="center"/>
        </m:oMathParaPr>
        <m:oMath>
          <m:sSub>
            <m:e>
              <m:r>
                <m:t>A</m:t>
              </m:r>
            </m:e>
            <m:sub>
              <m:r>
                <m:t>i</m:t>
              </m:r>
            </m:sub>
          </m:sSub>
          <m:r>
            <m:rPr>
              <m:sty m:val="p"/>
            </m:rPr>
            <m:t>=</m:t>
          </m:r>
          <m:d>
            <m:dPr>
              <m:begChr m:val="("/>
              <m:sepChr m:val=""/>
              <m:endChr m:val=")"/>
              <m:grow/>
            </m:dPr>
            <m:e>
              <m:sSubSup>
                <m:e>
                  <m:r>
                    <m:t>a</m:t>
                  </m:r>
                </m:e>
                <m:sub>
                  <m:r>
                    <m:t>i</m:t>
                  </m:r>
                </m:sub>
                <m:sup>
                  <m:r>
                    <m:t>τ</m:t>
                  </m:r>
                </m:sup>
              </m:sSubSup>
              <m:r>
                <m:rPr>
                  <m:sty m:val="p"/>
                </m:rPr>
                <m:t>+</m:t>
              </m:r>
              <m:r>
                <m:t>ϵ</m:t>
              </m:r>
            </m:e>
          </m:d>
          <m:sSub>
            <m:e>
              <m:r>
                <m:t>r</m:t>
              </m:r>
            </m:e>
            <m:sub>
              <m:r>
                <m:t>i</m:t>
              </m:r>
            </m:sub>
          </m:sSub>
        </m:oMath>
      </m:oMathPara>
    </w:p>
    <w:p>
      <w:pPr>
        <w:pStyle w:val="FirstParagraph"/>
      </w:pPr>
      <w:r>
        <w:t xml:space="preserve">The probability of recalling item</w:t>
      </w:r>
      <w:r>
        <w:t xml:space="preserve"> </w:t>
      </w:r>
      <m:oMath>
        <m:r>
          <m:t>i</m:t>
        </m:r>
      </m:oMath>
      <w:r>
        <w:t xml:space="preserve"> </w:t>
      </w:r>
      <w:r>
        <w:t xml:space="preserve">then follows a Luce choice rule:</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nor/>
                <m:sty m:val="p"/>
              </m:rPr>
              <m:t>stop</m:t>
            </m:r>
          </m:sub>
        </m:sSub>
      </m:oMath>
      <w:r>
        <w:t xml:space="preserve"> </w:t>
      </w:r>
      <w:r>
        <w:t xml:space="preserve">or recall an item with probability</w:t>
      </w:r>
      <w:r>
        <w:t xml:space="preserve"> </w:t>
      </w:r>
      <m:oMath>
        <m:d>
          <m:dPr>
            <m:begChr m:val="("/>
            <m:sepChr m:val=""/>
            <m:endChr m:val=")"/>
            <m:grow/>
          </m:dPr>
          <m:e>
            <m:r>
              <m:t>1</m:t>
            </m:r>
            <m:r>
              <m:rPr>
                <m:sty m:val="p"/>
              </m:rPr>
              <m:t>−</m:t>
            </m:r>
            <m:sSub>
              <m:e>
                <m:r>
                  <m:t>p</m:t>
                </m:r>
              </m:e>
              <m:sub>
                <m:r>
                  <m:rPr>
                    <m:nor/>
                    <m:sty m:val="p"/>
                  </m:rPr>
                  <m:t>stop</m:t>
                </m:r>
              </m:sub>
            </m:sSub>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recall position:</w:t>
      </w:r>
    </w:p>
    <w:p>
      <w:pPr>
        <w:pStyle w:val="BodyText"/>
      </w:pPr>
      <m:oMathPara>
        <m:oMathParaPr>
          <m:jc m:val="center"/>
        </m:oMathParaPr>
        <m:oMath>
          <m:sSub>
            <m:e>
              <m:r>
                <m:t>p</m:t>
              </m:r>
            </m:e>
            <m:sub>
              <m:r>
                <m:rPr>
                  <m:nor/>
                  <m:sty m:val="p"/>
                </m:rPr>
                <m:t>stop</m:t>
              </m:r>
            </m:sub>
          </m:sSub>
          <m:d>
            <m:dPr>
              <m:begChr m:val="("/>
              <m:sepChr m:val=""/>
              <m:endChr m:val=")"/>
              <m:grow/>
            </m:dPr>
            <m:e>
              <m:r>
                <m:t>j</m:t>
              </m:r>
            </m:e>
          </m:d>
          <m:r>
            <m:rPr>
              <m:sty m:val="p"/>
            </m:rPr>
            <m:t>=</m:t>
          </m:r>
          <m:sSub>
            <m:e>
              <m:r>
                <m:t>θ</m:t>
              </m:r>
            </m:e>
            <m:sub>
              <m:r>
                <m:t>s</m:t>
              </m:r>
            </m:sub>
          </m:sSub>
          <m:r>
            <m:t> </m:t>
          </m:r>
          <m:sSup>
            <m:e>
              <m:r>
                <m:t>e</m:t>
              </m:r>
            </m:e>
            <m:sup>
              <m:sSub>
                <m:e>
                  <m:r>
                    <m:t>θ</m:t>
                  </m:r>
                </m:e>
                <m:sub>
                  <m:r>
                    <m:t>r</m:t>
                  </m:r>
                </m:sub>
              </m:sSub>
              <m:r>
                <m:rPr>
                  <m:sty m:val="p"/>
                </m:rPr>
                <m:t>⋅</m:t>
              </m:r>
              <m:r>
                <m:t>j</m:t>
              </m:r>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r>
                <m:rPr>
                  <m:sty m:val="p"/>
                </m:rPr>
                <m:t>,</m:t>
              </m:r>
              <m:r>
                <m:t>T</m:t>
              </m:r>
            </m:sup>
          </m:sSup>
          <m:sSub>
            <m:e>
              <m:r>
                <m:t>f</m:t>
              </m:r>
            </m:e>
            <m:sub>
              <m:r>
                <m:t>i</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κ</m:t>
              </m:r>
            </m:e>
            <m:sub>
              <m:r>
                <m:t>i</m:t>
              </m:r>
            </m:sub>
          </m:sSub>
          <m:sSubSup>
            <m:e>
              <m:r>
                <m:t>β</m:t>
              </m:r>
            </m:e>
            <m:sub>
              <m:r>
                <m:t>r</m:t>
              </m:r>
              <m:r>
                <m:t>e</m:t>
              </m:r>
              <m:r>
                <m:t>c</m:t>
              </m:r>
            </m:sub>
            <m:sup>
              <m:r>
                <m:t>S</m:t>
              </m:r>
            </m:sup>
          </m:sSubSup>
          <m:r>
            <m:t> </m:t>
          </m:r>
          <m:sSup>
            <m:e>
              <m:r>
                <m:t>M</m:t>
              </m:r>
            </m:e>
            <m:sup>
              <m:r>
                <m:t>F</m:t>
              </m:r>
              <m:r>
                <m:t>C</m:t>
              </m:r>
              <m:r>
                <m:rPr>
                  <m:sty m:val="p"/>
                </m:rPr>
                <m:t>,</m:t>
              </m:r>
              <m:r>
                <m:t>S</m:t>
              </m:r>
            </m:sup>
          </m:sSup>
          <m:sSub>
            <m:e>
              <m:r>
                <m:t>f</m:t>
              </m:r>
            </m:e>
            <m:sub>
              <m:r>
                <m:t>i</m:t>
              </m:r>
            </m:sub>
          </m:sSub>
        </m:oMath>
      </m:oMathPara>
    </w:p>
    <w:p>
      <w:pPr>
        <w:pStyle w:val="FirstParagraph"/>
      </w:pPr>
      <w:r>
        <w:t xml:space="preserve">The target-monitoring scale</w:t>
      </w:r>
      <w:r>
        <w:t xml:space="preserve"> </w:t>
      </w:r>
      <m:oMath>
        <m:sSub>
          <m:e>
            <m:r>
              <m:t>κ</m:t>
            </m:r>
          </m:e>
          <m:sub>
            <m:r>
              <m:t>i</m:t>
            </m:r>
          </m:sub>
        </m:sSub>
      </m:oMath>
      <w:r>
        <w:t xml:space="preserve"> </w:t>
      </w:r>
      <w:r>
        <w:t xml:space="preserve">equals 1 for film items and can be reduced for non-film competitors.</w:t>
      </w:r>
      <w:r>
        <w:t xml:space="preserve"> </w:t>
      </w:r>
      <w:r>
        <w:t xml:space="preserve">This target monitoring setting represents a retrieval policy in which rejected competitors have less influence on the next context state.</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bookmarkEnd w:id="37"/>
    <w:bookmarkStart w:id="38" w:name="retrieval-modes-and-control-settings"/>
    <w:p>
      <w:pPr>
        <w:pStyle w:val="Heading2"/>
      </w:pPr>
      <w:r>
        <w:t xml:space="preserve">Retrieval Modes and Control Settings</w:t>
      </w:r>
    </w:p>
    <w:p>
      <w:pPr>
        <w:pStyle w:val="FirstParagraph"/>
      </w:pPr>
      <w:r>
        <w:t xml:space="preserve">The simulations vary retrieval mode and film-directed control settings without changing the stored film and task episodes.</w:t>
      </w:r>
      <w:r>
        <w:t xml:space="preserve"> </w:t>
      </w:r>
      <w:r>
        <w:t xml:space="preserve">Intrusion-like retrieval is modeled as relatively broad context-to-item sampling from the current retrieval context.</w:t>
      </w:r>
      <w:r>
        <w:t xml:space="preserve"> </w:t>
      </w:r>
      <w:r>
        <w:t xml:space="preserve">Deliberate recall uses the same context-to-item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Probe-driven access uses the item-to-context pathway to reduce reliance on broad context-to-item search.</w:t>
      </w:r>
      <w:r>
        <w:t xml:space="preserve"> </w:t>
      </w:r>
      <w:r>
        <w:t xml:space="preserve">When a test supplies a film item, that item can retrieve its own associated context through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This route supplies more target-specific information than broad context-to-item search.</w:t>
      </w:r>
      <w:r>
        <w:t xml:space="preserve"> </w:t>
      </w:r>
      <w:r>
        <w:t xml:space="preserve">It should therefore be less exposed to competitors encoded near the film context, although the manuscript treats recognition-like access as a probe-driven case to be interpreted alongside the task design rather than as an absolute recognition result.</w:t>
      </w:r>
    </w:p>
    <w:bookmarkEnd w:id="38"/>
    <w:bookmarkStart w:id="40"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source-only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source/emotional overlap,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scale-factors">
        <w:r>
          <w:rPr>
            <w:rStyle w:val="Hyperlink"/>
          </w:rPr>
          <w:t xml:space="preserve">Table 3</w:t>
        </w:r>
      </w:hyperlink>
      <w:r>
        <w:t xml:space="preserve"> </w:t>
      </w:r>
      <w:r>
        <w:t xml:space="preserve">lists the main scale factors and their theoretical roles.</w:t>
      </w:r>
    </w:p>
    <w:bookmarkStart w:id="39" w:name="tbl-scale-factors"/>
    <w:p>
      <w:pPr>
        <w:pStyle w:val="FigureTitle"/>
      </w:pPr>
      <w:r>
        <w:t xml:space="preserve">Table 3</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ϕ</m:t>
                  </m:r>
                </m:sup>
              </m:sSubSup>
            </m:oMath>
          </w:p>
        </w:tc>
        <w:tc>
          <w:tcPr/>
          <w:p>
            <w:pPr>
              <w:pStyle w:val="Compact"/>
            </w:pPr>
            <m:oMath>
              <m:sSub>
                <m:e>
                  <m:r>
                    <m:t>ϕ</m:t>
                  </m:r>
                </m:e>
                <m:sub>
                  <m:r>
                    <m:t>i</m:t>
                  </m:r>
                </m:sub>
              </m:sSub>
            </m:oMath>
          </w:p>
        </w:tc>
        <w:tc>
          <w:tcPr/>
          <w:p>
            <w:pPr>
              <w:pStyle w:val="Compact"/>
            </w:pPr>
            <w:r>
              <w:t xml:space="preserve">Break-phase competitor learning</w:t>
            </w:r>
          </w:p>
        </w:tc>
        <w:tc>
          <w:tcPr/>
          <w:p>
            <w:pPr>
              <w:pStyle w:val="Compact"/>
            </w:pPr>
            <w:r>
              <w:t xml:space="preserve">Break-task control</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int</m:t>
                  </m:r>
                </m:sub>
                <m:sup>
                  <m:r>
                    <m:t>β</m:t>
                  </m:r>
                </m:sup>
              </m:sSubSup>
            </m:oMath>
          </w:p>
        </w:tc>
        <w:tc>
          <w:tcPr/>
          <w:p>
            <w:pPr>
              <w:pStyle w:val="Compact"/>
            </w:pPr>
            <m:oMath>
              <m:sSub>
                <m:e>
                  <m:r>
                    <m:t>β</m:t>
                  </m:r>
                </m:e>
                <m:sub>
                  <m:r>
                    <m:t>e</m:t>
                  </m:r>
                  <m:r>
                    <m:t>n</m:t>
                  </m:r>
                  <m:r>
                    <m:t>c</m:t>
                  </m:r>
                </m:sub>
              </m:sSub>
            </m:oMath>
          </w:p>
        </w:tc>
        <w:tc>
          <w:tcPr/>
          <w:p>
            <w:pPr>
              <w:pStyle w:val="Compact"/>
            </w:pPr>
            <w:r>
              <w:t xml:space="preserve">Interference-phase drift</w:t>
            </w:r>
          </w:p>
        </w:tc>
        <w:tc>
          <w:tcPr/>
          <w:p>
            <w:pPr>
              <w:pStyle w:val="Compact"/>
            </w:pPr>
            <w:r>
              <w:t xml:space="preserve">Target-competitor cue overlap</w:t>
            </w:r>
          </w:p>
        </w:tc>
      </w:tr>
      <w:tr>
        <w:tc>
          <w:tcPr/>
          <w:p>
            <w:pPr>
              <w:pStyle w:val="Compact"/>
            </w:pPr>
            <m:oMath>
              <m:sSubSup>
                <m:e>
                  <m:r>
                    <m:t>s</m:t>
                  </m:r>
                </m:e>
                <m:sub>
                  <m:r>
                    <m:rPr>
                      <m:nor/>
                      <m:sty m:val="p"/>
                    </m:rPr>
                    <m:t>int</m:t>
                  </m:r>
                </m:sub>
                <m:sup>
                  <m:r>
                    <m:t>ϕ</m:t>
                  </m:r>
                </m:sup>
              </m:sSubSup>
            </m:oMath>
          </w:p>
        </w:tc>
        <w:tc>
          <w:tcPr/>
          <w:p>
            <w:pPr>
              <w:pStyle w:val="Compact"/>
            </w:pPr>
            <m:oMath>
              <m:sSub>
                <m:e>
                  <m:r>
                    <m:t>ϕ</m:t>
                  </m:r>
                </m:e>
                <m:sub>
                  <m:r>
                    <m:t>i</m:t>
                  </m:r>
                </m:sub>
              </m:sSub>
            </m:oMath>
          </w:p>
        </w:tc>
        <w:tc>
          <w:tcPr/>
          <w:p>
            <w:pPr>
              <w:pStyle w:val="Compact"/>
            </w:pPr>
            <w:r>
              <w:t xml:space="preserve">Interference-phase MCF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Post-interference buffer</w:t>
            </w:r>
          </w:p>
        </w:tc>
      </w:tr>
      <w:tr>
        <w:tc>
          <w:tcPr/>
          <w:p>
            <w:pPr>
              <w:pStyle w:val="Compact"/>
            </w:pPr>
            <m:oMath>
              <m:sSubSup>
                <m:e>
                  <m:r>
                    <m:t>s</m:t>
                  </m:r>
                </m:e>
                <m:sub>
                  <m:r>
                    <m:rPr>
                      <m:nor/>
                      <m:sty m:val="p"/>
                    </m:rPr>
                    <m:t>fill</m:t>
                  </m:r>
                </m:sub>
                <m:sup>
                  <m:r>
                    <m:t>ϕ</m:t>
                  </m:r>
                </m:sup>
              </m:sSubSup>
            </m:oMath>
          </w:p>
        </w:tc>
        <w:tc>
          <w:tcPr/>
          <w:p>
            <w:pPr>
              <w:pStyle w:val="Compact"/>
            </w:pPr>
            <m:oMath>
              <m:sSub>
                <m:e>
                  <m:r>
                    <m:t>ϕ</m:t>
                  </m:r>
                </m:e>
                <m:sub>
                  <m:r>
                    <m:t>i</m:t>
                  </m:r>
                </m:sub>
              </m:sSub>
            </m:oMath>
          </w:p>
        </w:tc>
        <w:tc>
          <w:tcPr/>
          <w:p>
            <w:pPr>
              <w:pStyle w:val="Compact"/>
            </w:pPr>
            <w:r>
              <w:t xml:space="preserve">Filler-phase MCF learning</w:t>
            </w:r>
          </w:p>
        </w:tc>
        <w:tc>
          <w:tcPr/>
          <w:p>
            <w:pPr>
              <w:pStyle w:val="Compact"/>
            </w:pPr>
            <w:r>
              <w:t xml:space="preserve">Filler-task control</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S</m:t>
                  </m:r>
                </m:sub>
              </m:sSub>
            </m:oMath>
          </w:p>
        </w:tc>
        <w:tc>
          <w:tcPr/>
          <w:p>
            <w:pPr>
              <w:pStyle w:val="Compact"/>
            </w:pPr>
            <w:r>
              <w:t xml:space="preserve">source MCF learning</w:t>
            </w:r>
          </w:p>
        </w:tc>
        <w:tc>
          <w:tcPr/>
          <w:p>
            <w:pPr>
              <w:pStyle w:val="Compact"/>
            </w:pPr>
            <w:r>
              <w:t xml:space="preserve">Source/emotional learning strength</w:t>
            </w:r>
          </w:p>
        </w:tc>
        <w:tc>
          <w:tcPr/>
          <w:p>
            <w:pPr>
              <w:pStyle w:val="Compact"/>
            </w:pPr>
            <w:r>
              <w:t xml:space="preserve">Source/emotional cue overlap</w:t>
            </w:r>
          </w:p>
        </w:tc>
      </w:tr>
      <w:tr>
        <w:tc>
          <w:tcPr/>
          <w:p>
            <w:pPr>
              <w:pStyle w:val="Compact"/>
            </w:pPr>
            <m:oMath>
              <m:sSubSup>
                <m:e>
                  <m:r>
                    <m:t>s</m:t>
                  </m:r>
                </m:e>
                <m:sub>
                  <m:r>
                    <m:rPr>
                      <m:nor/>
                      <m:sty m:val="p"/>
                    </m:rPr>
                    <m:t>enc</m:t>
                  </m:r>
                </m:sub>
                <m:sup>
                  <m:r>
                    <m:t>β</m:t>
                  </m:r>
                  <m:r>
                    <m:rPr>
                      <m:sty m:val="p"/>
                    </m:rPr>
                    <m:t>,</m:t>
                  </m:r>
                  <m:r>
                    <m:t>S</m:t>
                  </m:r>
                </m:sup>
              </m:sSubSup>
            </m:oMath>
          </w:p>
        </w:tc>
        <w:tc>
          <w:tcPr/>
          <w:p>
            <w:pPr>
              <w:pStyle w:val="Compact"/>
            </w:pPr>
            <m:oMath>
              <m:sSubSup>
                <m:e>
                  <m:r>
                    <m:t>β</m:t>
                  </m:r>
                </m:e>
                <m:sub>
                  <m:r>
                    <m:t>e</m:t>
                  </m:r>
                  <m:r>
                    <m:t>n</m:t>
                  </m:r>
                  <m:r>
                    <m:t>c</m:t>
                  </m:r>
                </m:sub>
                <m:sup>
                  <m:r>
                    <m:t>S</m:t>
                  </m:r>
                </m:sup>
              </m:sSubSup>
            </m:oMath>
          </w:p>
        </w:tc>
        <w:tc>
          <w:tcPr/>
          <w:p>
            <w:pPr>
              <w:pStyle w:val="Compact"/>
            </w:pPr>
            <w:r>
              <w:t xml:space="preserve">Source-context encoding drift</w:t>
            </w:r>
          </w:p>
        </w:tc>
        <w:tc>
          <w:tcPr/>
          <w:p>
            <w:pPr>
              <w:pStyle w:val="Compact"/>
            </w:pPr>
            <w:r>
              <w:t xml:space="preserve">Source/emotional cue overlap</w:t>
            </w:r>
          </w:p>
        </w:tc>
      </w:tr>
      <w:tr>
        <w:tc>
          <w:tcPr/>
          <w:p>
            <w:pPr>
              <w:pStyle w:val="Compact"/>
            </w:pPr>
            <m:oMath>
              <m:sSubSup>
                <m:e>
                  <m:r>
                    <m:t>s</m:t>
                  </m:r>
                </m:e>
                <m:sub>
                  <m:r>
                    <m:rPr>
                      <m:nor/>
                      <m:sty m:val="p"/>
                    </m:rPr>
                    <m:t>rec</m:t>
                  </m:r>
                </m:sub>
                <m:sup>
                  <m:r>
                    <m:t>β</m:t>
                  </m:r>
                  <m:r>
                    <m:rPr>
                      <m:sty m:val="p"/>
                    </m:rPr>
                    <m:t>,</m:t>
                  </m:r>
                  <m:r>
                    <m:t>S</m:t>
                  </m:r>
                </m:sup>
              </m:sSubSup>
            </m:oMath>
          </w:p>
        </w:tc>
        <w:tc>
          <w:tcPr/>
          <w:p>
            <w:pPr>
              <w:pStyle w:val="Compact"/>
            </w:pPr>
            <m:oMath>
              <m:sSubSup>
                <m:e>
                  <m:r>
                    <m:t>β</m:t>
                  </m:r>
                </m:e>
                <m:sub>
                  <m:r>
                    <m:t>r</m:t>
                  </m:r>
                  <m:r>
                    <m:t>e</m:t>
                  </m:r>
                  <m:r>
                    <m:t>c</m:t>
                  </m:r>
                </m:sub>
                <m:sup>
                  <m:r>
                    <m:t>S</m:t>
                  </m:r>
                </m:sup>
              </m:sSubSup>
            </m:oMath>
          </w:p>
        </w:tc>
        <w:tc>
          <w:tcPr/>
          <w:p>
            <w:pPr>
              <w:pStyle w:val="Compact"/>
            </w:pPr>
            <w:r>
              <w:t xml:space="preserve">Source-context recall drift</w:t>
            </w:r>
          </w:p>
        </w:tc>
        <w:tc>
          <w:tcPr/>
          <w:p>
            <w:pPr>
              <w:pStyle w:val="Compact"/>
            </w:pPr>
            <w:r>
              <w:t xml:space="preserve">Source-context reinstatement</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9"/>
    <w:p>
      <w:pPr>
        <w:pStyle w:val="AfterWithoutNote"/>
      </w:pPr>
      <w:r>
        <w:t xml:space="preserve">The paradigm geometry mirrors trauma-film selective-interference designs at an abstract level.</w:t>
      </w:r>
      <w:r>
        <w:t xml:space="preserve"> </w:t>
      </w:r>
      <w:r>
        <w:t xml:space="preserve">Each simulated trial includes film, optional break, reminder, interference, and filler phases, with phase lengths and phase-specific scaling set by the simulation factors in</w:t>
      </w:r>
      <w:r>
        <w:t xml:space="preserve"> </w:t>
      </w:r>
      <w:hyperlink w:anchor="tbl-scale-factors">
        <w:r>
          <w:rPr>
            <w:rStyle w:val="Hyperlink"/>
          </w:rPr>
          <w:t xml:space="preserve">Table 3</w:t>
        </w:r>
      </w:hyperlink>
      <w:r>
        <w:t xml:space="preserve">.</w:t>
      </w:r>
      <w:r>
        <w:t xml:space="preserve"> </w:t>
      </w:r>
      <w:r>
        <w:t xml:space="preserve">The main simulation outputs track which phase each recalled item came from, how often film items are recalled, and how those quantities change across interference and retrieval-control manipulations.</w:t>
      </w:r>
      <w:r>
        <w:t xml:space="preserve"> </w:t>
      </w:r>
      <w:r>
        <w:t xml:space="preserve">Because retrieval proceeds as a sequence of competitive samples terminated by a growing stop probability, the expected number of film items recalled depends on how much retrieval probability competitors capture at each step.</w:t>
      </w:r>
      <w:r>
        <w:t xml:space="preserve"> </w:t>
      </w:r>
      <w:r>
        <w:t xml:space="preserve">These dependent measures provide a bridge between the model’s formal predictions and the empirical phenomena the simulations target.</w:t>
      </w:r>
    </w:p>
    <w:bookmarkEnd w:id="40"/>
    <w:bookmarkEnd w:id="41"/>
    <w:bookmarkStart w:id="52"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5" w:name="fig-interference-sweep-spc"/>
    <w:p>
      <w:pPr>
        <w:pStyle w:val="FigureTitle"/>
      </w:pPr>
      <w:r>
        <w:t xml:space="preserve">Figure 2</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43" name="Picture"/>
            <a:graphic>
              <a:graphicData uri="http://schemas.openxmlformats.org/drawingml/2006/picture">
                <pic:pic>
                  <pic:nvPicPr>
                    <pic:cNvPr descr="figures/interference_mcf_scale_delay16_fit_no_shared_support_side_by_side_spc.png" id="44" name="Picture"/>
                    <pic:cNvPicPr>
                      <a:picLocks noChangeArrowheads="1" noChangeAspect="1"/>
                    </pic:cNvPicPr>
                  </pic:nvPicPr>
                  <pic:blipFill>
                    <a:blip r:embed="rId42"/>
                    <a:stretch>
                      <a:fillRect/>
                    </a:stretch>
                  </pic:blipFill>
                  <pic:spPr bwMode="auto">
                    <a:xfrm>
                      <a:off x="0" y="0"/>
                      <a:ext cx="5943600" cy="2214422"/>
                    </a:xfrm>
                    <a:prstGeom prst="rect">
                      <a:avLst/>
                    </a:prstGeom>
                    <a:noFill/>
                    <a:ln w="9525">
                      <a:noFill/>
                      <a:headEnd/>
                      <a:tailEnd/>
                    </a:ln>
                  </pic:spPr>
                </pic:pic>
              </a:graphicData>
            </a:graphic>
          </wp:inline>
        </w:drawing>
      </w:r>
    </w:p>
    <w:bookmarkEnd w:id="45"/>
    <w:bookmarkStart w:id="46"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mode.</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6"/>
    <w:bookmarkStart w:id="47"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7"/>
    <w:bookmarkStart w:id="48"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becomes effective when it encodes competitors with enough learned support and with associated context states similar enough to film context.</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source/emotional context is relevant only insofar as it increases that competition.</w:t>
      </w:r>
    </w:p>
    <w:bookmarkEnd w:id="48"/>
    <w:bookmarkStart w:id="49"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9"/>
    <w:bookmarkStart w:id="50"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50"/>
    <w:bookmarkStart w:id="51" w:name="Xd899c74baf6ef599438daabd3dfd1a19bfff423"/>
    <w:p>
      <w:pPr>
        <w:pStyle w:val="Heading2"/>
      </w:pPr>
      <w:r>
        <w:t xml:space="preserve">Simulation 6: Probe-Driven Access in Recognition-Like Tests</w:t>
      </w:r>
    </w:p>
    <w:p>
      <w:pPr>
        <w:pStyle w:val="FirstParagraph"/>
      </w:pPr>
      <w:r>
        <w:t xml:space="preserve">Premise: Tests that supply a film item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tests that supply a film item and recognition-like measures as a probe-driven access case.</w:t>
      </w:r>
      <w:r>
        <w:t xml:space="preserve"> </w:t>
      </w:r>
      <w:r>
        <w:t xml:space="preserve">The claim is that probe-driven access reduces exposure to contextual competition, not that recognition escapes the mechanism in every design or that all voluntary memory has the same protection.</w:t>
      </w:r>
    </w:p>
    <w:bookmarkEnd w:id="51"/>
    <w:bookmarkEnd w:id="52"/>
    <w:bookmarkStart w:id="53" w:name="general-discussion"/>
    <w:p>
      <w:pPr>
        <w:pStyle w:val="Heading1"/>
      </w:pPr>
      <w:r>
        <w:t xml:space="preserve">General Discussion</w:t>
      </w:r>
    </w:p>
    <w:bookmarkEnd w:id="53"/>
    <w:bookmarkStart w:id="118" w:name="references"/>
    <w:p>
      <w:pPr>
        <w:pStyle w:val="Heading1"/>
      </w:pPr>
      <w:r>
        <w:t xml:space="preserve">References</w:t>
      </w:r>
    </w:p>
    <w:bookmarkStart w:id="117" w:name="refs"/>
    <w:bookmarkStart w:id="5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4">
        <w:r>
          <w:rPr>
            <w:rStyle w:val="Hyperlink"/>
          </w:rPr>
          <w:t xml:space="preserve">https://doi.org/10.1016/j.jpsychires.2023.01.028</w:t>
        </w:r>
      </w:hyperlink>
    </w:p>
    <w:bookmarkEnd w:id="55"/>
    <w:bookmarkStart w:id="5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6">
        <w:r>
          <w:rPr>
            <w:rStyle w:val="Hyperlink"/>
          </w:rPr>
          <w:t xml:space="preserve">https://doi.org/10.1037/a0033722</w:t>
        </w:r>
      </w:hyperlink>
    </w:p>
    <w:bookmarkEnd w:id="57"/>
    <w:bookmarkStart w:id="5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8">
        <w:r>
          <w:rPr>
            <w:rStyle w:val="Hyperlink"/>
          </w:rPr>
          <w:t xml:space="preserve">https://doi.org/10.1037/0033-295X.103.4.670</w:t>
        </w:r>
      </w:hyperlink>
    </w:p>
    <w:bookmarkEnd w:id="59"/>
    <w:bookmarkStart w:id="6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60">
        <w:r>
          <w:rPr>
            <w:rStyle w:val="Hyperlink"/>
          </w:rPr>
          <w:t xml:space="preserve">https://doi.org/10.1037/a0018113</w:t>
        </w:r>
      </w:hyperlink>
    </w:p>
    <w:bookmarkEnd w:id="61"/>
    <w:bookmarkStart w:id="6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62">
        <w:r>
          <w:rPr>
            <w:rStyle w:val="Hyperlink"/>
          </w:rPr>
          <w:t xml:space="preserve">https://doi.org/10.1037/rev0000334</w:t>
        </w:r>
      </w:hyperlink>
    </w:p>
    <w:bookmarkEnd w:id="63"/>
    <w:bookmarkStart w:id="6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4">
        <w:r>
          <w:rPr>
            <w:rStyle w:val="Hyperlink"/>
          </w:rPr>
          <w:t xml:space="preserve">https://doi.org/10.1016/j.jbtep.2011.10.008</w:t>
        </w:r>
      </w:hyperlink>
    </w:p>
    <w:bookmarkEnd w:id="65"/>
    <w:bookmarkStart w:id="6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6"/>
    <w:bookmarkStart w:id="6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7">
        <w:r>
          <w:rPr>
            <w:rStyle w:val="Hyperlink"/>
          </w:rPr>
          <w:t xml:space="preserve">https://doi.org/10.1016/S0005-7967(99)00123-0</w:t>
        </w:r>
      </w:hyperlink>
    </w:p>
    <w:bookmarkEnd w:id="68"/>
    <w:bookmarkStart w:id="70"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9">
        <w:r>
          <w:rPr>
            <w:rStyle w:val="Hyperlink"/>
          </w:rPr>
          <w:t xml:space="preserve">https://doi.org/10.1016/j.actpsy.2007.11.002</w:t>
        </w:r>
      </w:hyperlink>
    </w:p>
    <w:bookmarkEnd w:id="70"/>
    <w:bookmarkStart w:id="72"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71">
        <w:r>
          <w:rPr>
            <w:rStyle w:val="Hyperlink"/>
          </w:rPr>
          <w:t xml:space="preserve">https://doi.org/10.1037/0096-3445.133.1.3</w:t>
        </w:r>
      </w:hyperlink>
    </w:p>
    <w:bookmarkEnd w:id="72"/>
    <w:bookmarkStart w:id="74"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73">
        <w:r>
          <w:rPr>
            <w:rStyle w:val="Hyperlink"/>
          </w:rPr>
          <w:t xml:space="preserve">https://doi.org/10.1371/journal.pone.0004153</w:t>
        </w:r>
      </w:hyperlink>
    </w:p>
    <w:bookmarkEnd w:id="74"/>
    <w:bookmarkStart w:id="76"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5">
        <w:r>
          <w:rPr>
            <w:rStyle w:val="Hyperlink"/>
          </w:rPr>
          <w:t xml:space="preserve">https://doi.org/10.1371/journal.pone.0013706</w:t>
        </w:r>
      </w:hyperlink>
    </w:p>
    <w:bookmarkEnd w:id="76"/>
    <w:bookmarkStart w:id="78"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7">
        <w:r>
          <w:rPr>
            <w:rStyle w:val="Hyperlink"/>
          </w:rPr>
          <w:t xml:space="preserve">https://doi.org/10.1016/j.brat.2017.03.018</w:t>
        </w:r>
      </w:hyperlink>
    </w:p>
    <w:bookmarkEnd w:id="78"/>
    <w:bookmarkStart w:id="80"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9">
        <w:r>
          <w:rPr>
            <w:rStyle w:val="Hyperlink"/>
          </w:rPr>
          <w:t xml:space="preserve">https://doi.org/10.1006/jmps.2001.1388</w:t>
        </w:r>
      </w:hyperlink>
    </w:p>
    <w:bookmarkEnd w:id="80"/>
    <w:bookmarkStart w:id="81"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81"/>
    <w:bookmarkStart w:id="8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82">
        <w:r>
          <w:rPr>
            <w:rStyle w:val="Hyperlink"/>
          </w:rPr>
          <w:t xml:space="preserve">https://doi.org/10.1038/mp.2017.23</w:t>
        </w:r>
      </w:hyperlink>
    </w:p>
    <w:bookmarkEnd w:id="83"/>
    <w:bookmarkStart w:id="85"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4">
        <w:r>
          <w:rPr>
            <w:rStyle w:val="Hyperlink"/>
          </w:rPr>
          <w:t xml:space="preserve">https://doi.org/10.1016/j.cpr.2018.08.005</w:t>
        </w:r>
      </w:hyperlink>
    </w:p>
    <w:bookmarkEnd w:id="85"/>
    <w:bookmarkStart w:id="87"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6">
        <w:r>
          <w:rPr>
            <w:rStyle w:val="Hyperlink"/>
          </w:rPr>
          <w:t xml:space="preserve">https://doi.org/10.1177/0956797615583071</w:t>
        </w:r>
      </w:hyperlink>
    </w:p>
    <w:bookmarkEnd w:id="87"/>
    <w:bookmarkStart w:id="89"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8">
        <w:r>
          <w:rPr>
            <w:rStyle w:val="Hyperlink"/>
          </w:rPr>
          <w:t xml:space="preserve">https://doi.org/10.1016/j.cpr.2016.04.010</w:t>
        </w:r>
      </w:hyperlink>
    </w:p>
    <w:bookmarkEnd w:id="89"/>
    <w:bookmarkStart w:id="90"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90"/>
    <w:bookmarkStart w:id="92"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91">
        <w:r>
          <w:rPr>
            <w:rStyle w:val="Hyperlink"/>
          </w:rPr>
          <w:t xml:space="preserve">https://doi.org/10.1002/cpp.2489</w:t>
        </w:r>
      </w:hyperlink>
    </w:p>
    <w:bookmarkEnd w:id="92"/>
    <w:bookmarkStart w:id="94"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93">
        <w:r>
          <w:rPr>
            <w:rStyle w:val="Hyperlink"/>
          </w:rPr>
          <w:t xml:space="preserve">https://doi.org/10.1016/j.jbtep.2019.01.006</w:t>
        </w:r>
      </w:hyperlink>
    </w:p>
    <w:bookmarkEnd w:id="94"/>
    <w:bookmarkStart w:id="96"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5">
        <w:r>
          <w:rPr>
            <w:rStyle w:val="Hyperlink"/>
          </w:rPr>
          <w:t xml:space="preserve">https://doi.org/10.1038/nn.2271</w:t>
        </w:r>
      </w:hyperlink>
    </w:p>
    <w:bookmarkEnd w:id="96"/>
    <w:bookmarkStart w:id="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7">
        <w:r>
          <w:rPr>
            <w:rStyle w:val="Hyperlink"/>
          </w:rPr>
          <w:t xml:space="preserve">https://doi.org/10.1002/acp.1611</w:t>
        </w:r>
      </w:hyperlink>
    </w:p>
    <w:bookmarkEnd w:id="98"/>
    <w:bookmarkStart w:id="1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9">
        <w:r>
          <w:rPr>
            <w:rStyle w:val="Hyperlink"/>
          </w:rPr>
          <w:t xml:space="preserve">https://doi.org/10.1037/xge0000598</w:t>
        </w:r>
      </w:hyperlink>
    </w:p>
    <w:bookmarkEnd w:id="100"/>
    <w:bookmarkStart w:id="10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01">
        <w:r>
          <w:rPr>
            <w:rStyle w:val="Hyperlink"/>
          </w:rPr>
          <w:t xml:space="preserve">https://doi.org/10.1037/a0039036</w:t>
        </w:r>
      </w:hyperlink>
    </w:p>
    <w:bookmarkEnd w:id="102"/>
    <w:bookmarkStart w:id="104"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3">
        <w:r>
          <w:rPr>
            <w:rStyle w:val="Hyperlink"/>
          </w:rPr>
          <w:t xml:space="preserve">https://doi.org/10.1037/a0014420</w:t>
        </w:r>
      </w:hyperlink>
    </w:p>
    <w:bookmarkEnd w:id="104"/>
    <w:bookmarkStart w:id="10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5">
        <w:r>
          <w:rPr>
            <w:rStyle w:val="Hyperlink"/>
          </w:rPr>
          <w:t xml:space="preserve">https://doi.org/10.1037/a0013396</w:t>
        </w:r>
      </w:hyperlink>
    </w:p>
    <w:bookmarkEnd w:id="106"/>
    <w:bookmarkStart w:id="10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07">
        <w:r>
          <w:rPr>
            <w:rStyle w:val="Hyperlink"/>
          </w:rPr>
          <w:t xml:space="preserve">https://doi.org/10.1037/rev0000132</w:t>
        </w:r>
      </w:hyperlink>
    </w:p>
    <w:bookmarkEnd w:id="108"/>
    <w:bookmarkStart w:id="11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09">
        <w:r>
          <w:rPr>
            <w:rStyle w:val="Hyperlink"/>
          </w:rPr>
          <w:t xml:space="preserve">https://doi.org/10.1038/s41562-024-01956-y</w:t>
        </w:r>
      </w:hyperlink>
    </w:p>
    <w:bookmarkEnd w:id="110"/>
    <w:bookmarkStart w:id="11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11">
        <w:r>
          <w:rPr>
            <w:rStyle w:val="Hyperlink"/>
          </w:rPr>
          <w:t xml:space="preserve">https://doi.org/10.1525/collabra.130791</w:t>
        </w:r>
      </w:hyperlink>
    </w:p>
    <w:bookmarkEnd w:id="112"/>
    <w:bookmarkStart w:id="11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3">
        <w:r>
          <w:rPr>
            <w:rStyle w:val="Hyperlink"/>
          </w:rPr>
          <w:t xml:space="preserve">https://doi.org/10.1038/s41583-019-0150-4</w:t>
        </w:r>
      </w:hyperlink>
    </w:p>
    <w:bookmarkEnd w:id="114"/>
    <w:bookmarkStart w:id="11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5">
        <w:r>
          <w:rPr>
            <w:rStyle w:val="Hyperlink"/>
          </w:rPr>
          <w:t xml:space="preserve">https://doi.org/10.1037/0278-7393.32.4.792</w:t>
        </w:r>
      </w:hyperlink>
    </w:p>
    <w:bookmarkEnd w:id="116"/>
    <w:bookmarkEnd w:id="117"/>
    <w:bookmarkEnd w:id="11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15" Target="https://doi.org/10.1037/0278-7393.32.4.792" TargetMode="External" /><Relationship Type="http://schemas.openxmlformats.org/officeDocument/2006/relationships/hyperlink" Id="rId105" Target="https://doi.org/10.1037/a0013396" TargetMode="External" /><Relationship Type="http://schemas.openxmlformats.org/officeDocument/2006/relationships/hyperlink" Id="rId103"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1" Target="https://doi.org/10.1037/a0039036" TargetMode="External" /><Relationship Type="http://schemas.openxmlformats.org/officeDocument/2006/relationships/hyperlink" Id="rId107"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09" Target="https://doi.org/10.1038/s41562-024-01956-y" TargetMode="External" /><Relationship Type="http://schemas.openxmlformats.org/officeDocument/2006/relationships/hyperlink" Id="rId113"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1"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cp.1611" TargetMode="External" /><Relationship Type="http://schemas.openxmlformats.org/officeDocument/2006/relationships/hyperlink" Id="rId91" Target="https://doi.org/10.1002/cpp.2489" TargetMode="External" /><Relationship Type="http://schemas.openxmlformats.org/officeDocument/2006/relationships/hyperlink" Id="rId79" Target="https://doi.org/10.1006/jmps.2001.1388" TargetMode="External" /><Relationship Type="http://schemas.openxmlformats.org/officeDocument/2006/relationships/hyperlink" Id="rId67" Target="https://doi.org/10.1016/S0005-7967(99)00123-0" TargetMode="External" /><Relationship Type="http://schemas.openxmlformats.org/officeDocument/2006/relationships/hyperlink" Id="rId69" Target="https://doi.org/10.1016/j.actpsy.2007.11.002" TargetMode="External" /><Relationship Type="http://schemas.openxmlformats.org/officeDocument/2006/relationships/hyperlink" Id="rId77" Target="https://doi.org/10.1016/j.brat.2017.03.018" TargetMode="External" /><Relationship Type="http://schemas.openxmlformats.org/officeDocument/2006/relationships/hyperlink" Id="rId88" Target="https://doi.org/10.1016/j.cpr.2016.04.010" TargetMode="External" /><Relationship Type="http://schemas.openxmlformats.org/officeDocument/2006/relationships/hyperlink" Id="rId84" Target="https://doi.org/10.1016/j.cpr.2018.08.005" TargetMode="External" /><Relationship Type="http://schemas.openxmlformats.org/officeDocument/2006/relationships/hyperlink" Id="rId64" Target="https://doi.org/10.1016/j.jbtep.2011.10.008" TargetMode="External" /><Relationship Type="http://schemas.openxmlformats.org/officeDocument/2006/relationships/hyperlink" Id="rId93" Target="https://doi.org/10.1016/j.jbtep.2019.01.006" TargetMode="External" /><Relationship Type="http://schemas.openxmlformats.org/officeDocument/2006/relationships/hyperlink" Id="rId54" Target="https://doi.org/10.1016/j.jpsychires.2023.01.028" TargetMode="External" /><Relationship Type="http://schemas.openxmlformats.org/officeDocument/2006/relationships/hyperlink" Id="rId58" Target="https://doi.org/10.1037/0033-295X.103.4.670" TargetMode="External" /><Relationship Type="http://schemas.openxmlformats.org/officeDocument/2006/relationships/hyperlink" Id="rId71" Target="https://doi.org/10.1037/0096-3445.133.1.3" TargetMode="External" /><Relationship Type="http://schemas.openxmlformats.org/officeDocument/2006/relationships/hyperlink" Id="rId115" Target="https://doi.org/10.1037/0278-7393.32.4.792" TargetMode="External" /><Relationship Type="http://schemas.openxmlformats.org/officeDocument/2006/relationships/hyperlink" Id="rId105" Target="https://doi.org/10.1037/a0013396" TargetMode="External" /><Relationship Type="http://schemas.openxmlformats.org/officeDocument/2006/relationships/hyperlink" Id="rId103" Target="https://doi.org/10.1037/a0014420" TargetMode="External" /><Relationship Type="http://schemas.openxmlformats.org/officeDocument/2006/relationships/hyperlink" Id="rId60" Target="https://doi.org/10.1037/a0018113" TargetMode="External" /><Relationship Type="http://schemas.openxmlformats.org/officeDocument/2006/relationships/hyperlink" Id="rId56" Target="https://doi.org/10.1037/a0033722" TargetMode="External" /><Relationship Type="http://schemas.openxmlformats.org/officeDocument/2006/relationships/hyperlink" Id="rId101" Target="https://doi.org/10.1037/a0039036" TargetMode="External" /><Relationship Type="http://schemas.openxmlformats.org/officeDocument/2006/relationships/hyperlink" Id="rId107" Target="https://doi.org/10.1037/rev0000132" TargetMode="External" /><Relationship Type="http://schemas.openxmlformats.org/officeDocument/2006/relationships/hyperlink" Id="rId62" Target="https://doi.org/10.1037/rev0000334" TargetMode="External" /><Relationship Type="http://schemas.openxmlformats.org/officeDocument/2006/relationships/hyperlink" Id="rId99" Target="https://doi.org/10.1037/xge0000598" TargetMode="External" /><Relationship Type="http://schemas.openxmlformats.org/officeDocument/2006/relationships/hyperlink" Id="rId82" Target="https://doi.org/10.1038/mp.2017.23" TargetMode="External" /><Relationship Type="http://schemas.openxmlformats.org/officeDocument/2006/relationships/hyperlink" Id="rId95" Target="https://doi.org/10.1038/nn.2271" TargetMode="External" /><Relationship Type="http://schemas.openxmlformats.org/officeDocument/2006/relationships/hyperlink" Id="rId109" Target="https://doi.org/10.1038/s41562-024-01956-y" TargetMode="External" /><Relationship Type="http://schemas.openxmlformats.org/officeDocument/2006/relationships/hyperlink" Id="rId113" Target="https://doi.org/10.1038/s41583-019-0150-4" TargetMode="External" /><Relationship Type="http://schemas.openxmlformats.org/officeDocument/2006/relationships/hyperlink" Id="rId86" Target="https://doi.org/10.1177/0956797615583071" TargetMode="External" /><Relationship Type="http://schemas.openxmlformats.org/officeDocument/2006/relationships/hyperlink" Id="rId73" Target="https://doi.org/10.1371/journal.pone.0004153" TargetMode="External" /><Relationship Type="http://schemas.openxmlformats.org/officeDocument/2006/relationships/hyperlink" Id="rId75" Target="https://doi.org/10.1371/journal.pone.0013706" TargetMode="External" /><Relationship Type="http://schemas.openxmlformats.org/officeDocument/2006/relationships/hyperlink" Id="rId111"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2026-05-20T13:26:46Z</dcterms:created>
  <dcterms:modified xsi:type="dcterms:W3CDTF">2026-05-20T13:26:46Z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