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affective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affective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emotional-context drift rate</w:t>
            </w:r>
          </w:p>
        </w:tc>
        <w:tc>
          <w:tcPr/>
          <w:p>
            <w:pPr>
              <w:pStyle w:val="Compact"/>
            </w:pPr>
            <w:r>
              <w:t xml:space="preserve">Context drift in the emotional pathway</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emotional learning scale</w:t>
            </w:r>
          </w:p>
        </w:tc>
        <w:tc>
          <w:tcPr/>
          <w:p>
            <w:pPr>
              <w:pStyle w:val="Compact"/>
            </w:pPr>
            <w:r>
              <w:t xml:space="preserve">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This cue is not a separate retrieval system; it is the same feature-to-context operation applied to a supplied film item.</w:t>
      </w:r>
    </w:p>
    <w:bookmarkEnd w:id="49"/>
    <w:bookmarkStart w:id="53" w:name="affective-context"/>
    <w:p>
      <w:pPr>
        <w:pStyle w:val="Heading2"/>
      </w:pPr>
      <w:r>
        <w:t xml:space="preserve">Affective Context</w:t>
      </w:r>
    </w:p>
    <w:p>
      <w:pPr>
        <w:pStyle w:val="FirstParagraph"/>
      </w:pPr>
      <w:r>
        <w:t xml:space="preserve">The model also includes an affective-context pathway inherited from eCMR</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affective pathway tests whether shared affective state can amplify competition; it does not make task affect the explanation of selective interference.</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The affective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affective 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Affective 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learned affective support is present, it contributes to the same context-to-feature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affective feature only in affective-overlap variants.</w:t>
      </w:r>
      <w:r>
        <w:t xml:space="preserve"> </w:t>
      </w:r>
      <w:r>
        <w:t xml:space="preserve">When film and task items share the marked affective feature and affective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3"/>
    <w:bookmarkEnd w:id="54"/>
    <w:bookmarkStart w:id="67" w:name="simulations"/>
    <w:p>
      <w:pPr>
        <w:pStyle w:val="Heading1"/>
      </w:pPr>
      <w:r>
        <w:t xml:space="preserve">Simulations</w:t>
      </w:r>
    </w:p>
    <w:p>
      <w:pPr>
        <w:pStyle w:val="FirstParagraph"/>
      </w:pPr>
      <w:r>
        <w:t xml:space="preserve">The simulations configure the model specification above rather than adding new mechanisms.</w:t>
      </w:r>
      <w:r>
        <w:t xml:space="preserve"> </w:t>
      </w:r>
      <w:r>
        <w:t xml:space="preserve">They use the same CMR operations to encode target film items, intervening non-film items, task items, and post-task filler items, and they use the same retrieval rule for unguided retrieval and deliberate recall.</w:t>
      </w:r>
      <w:r>
        <w:t xml:space="preserve"> </w:t>
      </w:r>
      <w:r>
        <w:t xml:space="preserve">The design is organized around empirical contrasts in clip content, post-clip task, and retrieval mode, with immediate and delayed/post-reminder timing variants.</w:t>
      </w:r>
    </w:p>
    <w:bookmarkStart w:id="55" w:name="tbl-simulated-design"/>
    <w:p>
      <w:pPr>
        <w:pStyle w:val="FigureTitle"/>
      </w:pPr>
      <w:r>
        <w:t xml:space="preserve">Table 2</w:t>
      </w:r>
    </w:p>
    <w:p>
      <w:pPr>
        <w:pStyle w:val="Caption"/>
      </w:pPr>
      <w:r>
        <w:t xml:space="preserve">Simulated design components and their model implementation.</w:t>
      </w:r>
      <w:r>
        <w:t xml:space="preserve"> </w:t>
      </w:r>
      <w:r>
        <w:t xml:space="preserve">The table maps empirical contrasts onto model operations rather than listing all phase-specific parameter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component</w:t>
            </w:r>
          </w:p>
        </w:tc>
        <w:tc>
          <w:tcPr/>
          <w:p>
            <w:pPr>
              <w:pStyle w:val="Compact"/>
            </w:pPr>
            <w:r>
              <w:t xml:space="preserve">Variants</w:t>
            </w:r>
          </w:p>
        </w:tc>
        <w:tc>
          <w:tcPr/>
          <w:p>
            <w:pPr>
              <w:pStyle w:val="Compact"/>
            </w:pPr>
            <w:r>
              <w:t xml:space="preserve">Model role</w:t>
            </w:r>
          </w:p>
        </w:tc>
      </w:tr>
      <w:tr>
        <w:tc>
          <w:tcPr/>
          <w:p>
            <w:pPr>
              <w:pStyle w:val="Compact"/>
            </w:pPr>
            <w:r>
              <w:t xml:space="preserve">Film/clip items</w:t>
            </w:r>
          </w:p>
        </w:tc>
        <w:tc>
          <w:tcPr/>
          <w:p>
            <w:pPr>
              <w:pStyle w:val="Compact"/>
            </w:pPr>
            <w:r>
              <w:t xml:space="preserve">Trauma/affective or neutral target clips</w:t>
            </w:r>
          </w:p>
        </w:tc>
        <w:tc>
          <w:tcPr/>
          <w:p>
            <w:pPr>
              <w:pStyle w:val="Compact"/>
            </w:pPr>
            <w:r>
              <w:t xml:space="preserve">Film items are the target episode whose later access is measured; affective marking is enabled only for affective-overlap variants.</w:t>
            </w:r>
          </w:p>
        </w:tc>
      </w:tr>
      <w:tr>
        <w:tc>
          <w:tcPr/>
          <w:p>
            <w:pPr>
              <w:pStyle w:val="Compact"/>
            </w:pPr>
            <w:r>
              <w:t xml:space="preserve">Task condition</w:t>
            </w:r>
          </w:p>
        </w:tc>
        <w:tc>
          <w:tcPr/>
          <w:p>
            <w:pPr>
              <w:pStyle w:val="Compact"/>
            </w:pPr>
            <w:r>
              <w:t xml:space="preserve">Visuospatial interference task or comparison task</w:t>
            </w:r>
          </w:p>
        </w:tc>
        <w:tc>
          <w:tcPr/>
          <w:p>
            <w:pPr>
              <w:pStyle w:val="Compact"/>
            </w:pPr>
            <w:r>
              <w:t xml:space="preserve">Task items are potential competitors encoded after film encoding or reminder reinstatement; task learning strength indexes how strongly they compete once cued.</w:t>
            </w:r>
          </w:p>
        </w:tc>
      </w:tr>
      <w:tr>
        <w:tc>
          <w:tcPr/>
          <w:p>
            <w:pPr>
              <w:pStyle w:val="Compact"/>
            </w:pPr>
            <w:r>
              <w:t xml:space="preserve">Affective overlap</w:t>
            </w:r>
          </w:p>
        </w:tc>
        <w:tc>
          <w:tcPr/>
          <w:p>
            <w:pPr>
              <w:pStyle w:val="Compact"/>
            </w:pPr>
            <w:r>
              <w:t xml:space="preserve">Film-only marking or shared film-task marking</w:t>
            </w:r>
          </w:p>
        </w:tc>
        <w:tc>
          <w:tcPr/>
          <w:p>
            <w:pPr>
              <w:pStyle w:val="Compact"/>
            </w:pPr>
            <w:r>
              <w:t xml:space="preserve">Tests whether shared affective state amplifies task competition.</w:t>
            </w:r>
          </w:p>
        </w:tc>
      </w:tr>
      <w:tr>
        <w:tc>
          <w:tcPr/>
          <w:p>
            <w:pPr>
              <w:pStyle w:val="Compact"/>
            </w:pPr>
            <w:r>
              <w:t xml:space="preserve">Timing/reinstatement</w:t>
            </w:r>
          </w:p>
        </w:tc>
        <w:tc>
          <w:tcPr/>
          <w:p>
            <w:pPr>
              <w:pStyle w:val="Compact"/>
            </w:pPr>
            <w:r>
              <w:t xml:space="preserve">Immediate post-film task or delayed post-reminder task</w:t>
            </w:r>
          </w:p>
        </w:tc>
        <w:tc>
          <w:tcPr/>
          <w:p>
            <w:pPr>
              <w:pStyle w:val="Compact"/>
            </w:pPr>
            <w:r>
              <w:t xml:space="preserve">Tests whether delayed reminders increase overlap by reinstating film-associated context before task encoding.</w:t>
            </w:r>
          </w:p>
        </w:tc>
      </w:tr>
      <w:tr>
        <w:tc>
          <w:tcPr/>
          <w:p>
            <w:pPr>
              <w:pStyle w:val="Compact"/>
            </w:pPr>
            <w:r>
              <w:t xml:space="preserve">Buffer/filler experience</w:t>
            </w:r>
          </w:p>
        </w:tc>
        <w:tc>
          <w:tcPr/>
          <w:p>
            <w:pPr>
              <w:pStyle w:val="Compact"/>
            </w:pPr>
            <w:r>
              <w:t xml:space="preserve">Pre-reminder buffer and post-task filler</w:t>
            </w:r>
          </w:p>
        </w:tc>
        <w:tc>
          <w:tcPr/>
          <w:p>
            <w:pPr>
              <w:pStyle w:val="Compact"/>
            </w:pPr>
            <w:r>
              <w:t xml:space="preserve">Moves context away from film and adds non-film items that can enter retrieval competition.</w:t>
            </w:r>
          </w:p>
        </w:tc>
      </w:tr>
      <w:tr>
        <w:tc>
          <w:tcPr/>
          <w:p>
            <w:pPr>
              <w:pStyle w:val="Compact"/>
            </w:pPr>
            <w:r>
              <w:t xml:space="preserve">Retrieval mode</w:t>
            </w:r>
          </w:p>
        </w:tc>
        <w:tc>
          <w:tcPr/>
          <w:p>
            <w:pPr>
              <w:pStyle w:val="Compact"/>
            </w:pPr>
            <w:r>
              <w:t xml:space="preserve">Unguided retrieval or deliberate recall</w:t>
            </w:r>
          </w:p>
        </w:tc>
        <w:tc>
          <w:tcPr/>
          <w:p>
            <w:pPr>
              <w:pStyle w:val="Compact"/>
            </w:pPr>
            <w:r>
              <w:t xml:space="preserve">Tests whether film-directed control protects voluntary access within the same retrieval architecture.</w:t>
            </w:r>
          </w:p>
        </w:tc>
      </w:tr>
    </w:tbl>
    <w:bookmarkEnd w:id="55"/>
    <w:p>
      <w:pPr>
        <w:pStyle w:val="AfterWithoutNote"/>
      </w:pPr>
      <w:r>
        <w:t xml:space="preserve">Delayed/post-reminder simulations implement the reminder as two context-updating operations.</w:t>
      </w:r>
      <w:r>
        <w:t xml:space="preserve"> </w:t>
      </w:r>
      <w:r>
        <w:t xml:space="preserve">After the pre-reminder buffer, context first drifts toward the start state.</w:t>
      </w:r>
      <w:r>
        <w:t xml:space="preserve"> </w:t>
      </w:r>
      <w:r>
        <w:t xml:space="preserve">The model then applies film-item reminder cues sequentially, using</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 a reminder-cue drift rate lower than encoding drift in the working simulations.</w:t>
      </w:r>
      <w:r>
        <w:t xml:space="preserve"> </w:t>
      </w:r>
      <w:r>
        <w:t xml:space="preserve">This lower drift rate represents the assumption that brief reminder images provide weaker contextual evidence than full film-item presentations.</w:t>
      </w:r>
      <w:r>
        <w:t xml:space="preserve"> </w:t>
      </w:r>
      <w:r>
        <w:t xml:space="preserve">Reminder cues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r>
        <w:t xml:space="preserve">The immediate variant omits the structured pre-reminder buffer and reminder operations, placing the task phase directly after film encoding.</w:t>
      </w:r>
    </w:p>
    <w:p>
      <w:pPr>
        <w:pStyle w:val="BodyText"/>
      </w:pPr>
      <w:r>
        <w:t xml:space="preserve">Phase-specific parameter settings are introduced where the simulations vary them.</w:t>
      </w:r>
      <w:r>
        <w:t xml:space="preserve"> </w:t>
      </w:r>
      <w:r>
        <w:t xml:space="preserve">Task-learning settings index competitor strength, drift and reminder settings index contextual overlap, retrieval-control settings distinguish unguided retrieval from deliberate recall, and affective marking tests shared-state amplification.</w:t>
      </w:r>
      <w:r>
        <w:t xml:space="preserve"> </w:t>
      </w:r>
      <w:r>
        <w:t xml:space="preserve">Fixed settings for buffer and filler phases are treated as simulation configuration rather than as additional model mechanisms.</w:t>
      </w:r>
    </w:p>
    <w:bookmarkStart w:id="60" w:name="current-diagnostic-sweep"/>
    <w:p>
      <w:pPr>
        <w:pStyle w:val="Heading2"/>
      </w:pPr>
      <w:r>
        <w:t xml:space="preserve">Current Diagnostic Sweep</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r>
        <w:t xml:space="preserve"> </w:t>
      </w:r>
      <w:r>
        <w:t xml:space="preserve">This figure will move into the relevant simulation section once the final simulation package is fixed.</w:t>
      </w:r>
    </w:p>
    <w:bookmarkStart w:id="59"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57" name="Picture"/>
            <a:graphic>
              <a:graphicData uri="http://schemas.openxmlformats.org/drawingml/2006/picture">
                <pic:pic>
                  <pic:nvPicPr>
                    <pic:cNvPr descr="figures/interference_mcf_scale_delay16_fit_no_shared_support_side_by_side_spc.png" id="58" name="Picture"/>
                    <pic:cNvPicPr>
                      <a:picLocks noChangeArrowheads="1" noChangeAspect="1"/>
                    </pic:cNvPicPr>
                  </pic:nvPicPr>
                  <pic:blipFill>
                    <a:blip r:embed="rId56"/>
                    <a:stretch>
                      <a:fillRect/>
                    </a:stretch>
                  </pic:blipFill>
                  <pic:spPr bwMode="auto">
                    <a:xfrm>
                      <a:off x="0" y="0"/>
                      <a:ext cx="5943600" cy="2214422"/>
                    </a:xfrm>
                    <a:prstGeom prst="rect">
                      <a:avLst/>
                    </a:prstGeom>
                    <a:noFill/>
                    <a:ln w="9525">
                      <a:noFill/>
                      <a:headEnd/>
                      <a:tailEnd/>
                    </a:ln>
                  </pic:spPr>
                </pic:pic>
              </a:graphicData>
            </a:graphic>
          </wp:inline>
        </w:drawing>
      </w:r>
    </w:p>
    <w:bookmarkEnd w:id="59"/>
    <w:p>
      <w:pPr>
        <w:pStyle w:val="AfterWithoutNote"/>
      </w:pPr>
      <w:r>
        <w:t xml:space="preserve">The section scaffold below records what each simulation must establish before the final result text is written.</w:t>
      </w:r>
      <w:r>
        <w:t xml:space="preserve"> </w:t>
      </w:r>
      <w:r>
        <w:t xml:space="preserve">Each subsection specifies the core contrast, the primary readouts, and the main design decision still open at this stage.</w:t>
      </w:r>
    </w:p>
    <w:bookmarkEnd w:id="60"/>
    <w:bookmarkStart w:id="61"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task competition and retrieval mode.</w:t>
      </w:r>
      <w:r>
        <w:t xml:space="preserve"> </w:t>
      </w:r>
      <w:r>
        <w:t xml:space="preserve">The section should compare weak or absent task competition with strong task competition under unguided retrieval and deliberate recall.</w:t>
      </w:r>
      <w:r>
        <w:t xml:space="preserve"> </w:t>
      </w:r>
      <w:r>
        <w:t xml:space="preserve">The core demonstration is that the same stored film episode and the same post-film task manipulation produce larger film-item impairment under unguided retrieval than under deliberate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2 can still isolate the separate control mechanisms.</w:t>
      </w:r>
    </w:p>
    <w:bookmarkEnd w:id="61"/>
    <w:bookmarkStart w:id="62"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62"/>
    <w:bookmarkStart w:id="63" w:name="Xd8f441f3cd8f126ee70b8b553c70cb32891d979"/>
    <w:p>
      <w:pPr>
        <w:pStyle w:val="Heading2"/>
      </w:pPr>
      <w:r>
        <w:t xml:space="preserve">Simulation 3: Competitor Strength and Contextual Overlap</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r>
        <w:t xml:space="preserve"> </w:t>
      </w:r>
      <w:r>
        <w:t xml:space="preserve">The design should separate task competitor strength from contextual overlap rather than letting one sweep carry both interpretations.</w:t>
      </w:r>
    </w:p>
    <w:p>
      <w:pPr>
        <w:pStyle w:val="BodyText"/>
      </w:pPr>
      <w:r>
        <w:t xml:space="preserve">Primary readouts: The figure should cross or juxtapose a task-strength manipulation with an overlap manipulation and show both film-item access and task-competitor retrieval.</w:t>
      </w:r>
      <w:r>
        <w:t xml:space="preserve"> </w:t>
      </w:r>
      <w:r>
        <w:t xml:space="preserve">Phase-resolved recall remains useful here because the model’s explanation depends on task items entering retrieval alongside film items.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determines whether cued task items can win retrieval competitions.</w:t>
      </w:r>
      <w:r>
        <w:t xml:space="preserve"> </w:t>
      </w:r>
      <w:r>
        <w:t xml:space="preserve">Contextual overlap determines whether task competitors are cued alongside film items before their strength can impair film retrieval.</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Choose the primary operationalization of contextual overlap.</w:t>
      </w:r>
      <w:r>
        <w:t xml:space="preserve"> </w:t>
      </w:r>
      <w:r>
        <w:t xml:space="preserve">Candidates include task-phase drift, break/filler drift, reminder strength, and affective matching, but the section needs one main contrast and any others should be clearly secondary.</w:t>
      </w:r>
    </w:p>
    <w:bookmarkEnd w:id="63"/>
    <w:bookmarkStart w:id="64"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reinstates film context before competitor encoding by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p>
    <w:bookmarkEnd w:id="64"/>
    <w:bookmarkStart w:id="65"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r>
        <w:t xml:space="preserve"> </w:t>
      </w:r>
      <w:r>
        <w:t xml:space="preserve">The section should only become a simulation result if each test format is assigned a concrete retrieval setting.</w:t>
      </w:r>
      <w:r>
        <w:t xml:space="preserve"> </w:t>
      </w:r>
      <w:r>
        <w:t xml:space="preserve">Candidate settings include unguided retrieval from ongoing context, monitoring with film-related cues, free recall with film-directed start cueing, and cued recall with stronger external support.</w:t>
      </w:r>
    </w:p>
    <w:p>
      <w:pPr>
        <w:pStyle w:val="BodyText"/>
      </w:pPr>
      <w:r>
        <w:t xml:space="preserve">Primary readouts: The figure should show a graded vulnerability profile across retrieval settings under the same stored associations.</w:t>
      </w:r>
      <w:r>
        <w:t xml:space="preserve"> </w:t>
      </w:r>
      <w:r>
        <w:t xml:space="preserve">The useful result is a continuum of film-item impairment across retrieval settings.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p>
    <w:bookmarkEnd w:id="65"/>
    <w:bookmarkStart w:id="66"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r>
        <w:t xml:space="preserve"> </w:t>
      </w:r>
      <w:r>
        <w:t xml:space="preserve">The section should remain separate only if the simulation directly implements supplied-film-item cueing and contrasts it with broad context-to-feature search.</w:t>
      </w:r>
    </w:p>
    <w:p>
      <w:pPr>
        <w:pStyle w:val="BodyText"/>
      </w:pPr>
      <w:r>
        <w:t xml:space="preserve">Primary readouts: The figure should show that supplied film items can reinstate associated context and reduce exposure to task competitors under otherwise matched stored associations.</w:t>
      </w:r>
      <w:r>
        <w:t xml:space="preserve"> </w:t>
      </w:r>
      <w:r>
        <w:t xml:space="preserve">It should avoid implying a full recognition decision model unless such a mechanism is added.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p>
      <w:pPr>
        <w:pStyle w:val="BodyText"/>
      </w:pPr>
      <w:r>
        <w:t xml:space="preserve">Open specification: Decide whether this section earns its own simulation or should be folded into Simulation 5 as one point on the retrieval-support continuum.</w:t>
      </w:r>
    </w:p>
    <w:bookmarkEnd w:id="66"/>
    <w:bookmarkEnd w:id="67"/>
    <w:bookmarkStart w:id="68" w:name="general-discussion"/>
    <w:p>
      <w:pPr>
        <w:pStyle w:val="Heading1"/>
      </w:pPr>
      <w:r>
        <w:t xml:space="preserve">General Discussion</w:t>
      </w:r>
    </w:p>
    <w:bookmarkEnd w:id="68"/>
    <w:bookmarkStart w:id="139" w:name="references"/>
    <w:p>
      <w:pPr>
        <w:pStyle w:val="Heading1"/>
      </w:pPr>
      <w:r>
        <w:t xml:space="preserve">References</w:t>
      </w:r>
    </w:p>
    <w:bookmarkStart w:id="138" w:name="refs"/>
    <w:bookmarkStart w:id="7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69">
        <w:r>
          <w:rPr>
            <w:rStyle w:val="Hyperlink"/>
          </w:rPr>
          <w:t xml:space="preserve">https://doi.org/10.1016/j.jpsychires.2023.01.028</w:t>
        </w:r>
      </w:hyperlink>
    </w:p>
    <w:bookmarkEnd w:id="70"/>
    <w:bookmarkStart w:id="7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1">
        <w:r>
          <w:rPr>
            <w:rStyle w:val="Hyperlink"/>
          </w:rPr>
          <w:t xml:space="preserve">https://doi.org/10.1037/a0033722</w:t>
        </w:r>
      </w:hyperlink>
    </w:p>
    <w:bookmarkEnd w:id="72"/>
    <w:bookmarkStart w:id="7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3">
        <w:r>
          <w:rPr>
            <w:rStyle w:val="Hyperlink"/>
          </w:rPr>
          <w:t xml:space="preserve">https://doi.org/10.1037/0033-295X.103.4.670</w:t>
        </w:r>
      </w:hyperlink>
    </w:p>
    <w:bookmarkEnd w:id="74"/>
    <w:bookmarkStart w:id="7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5">
        <w:r>
          <w:rPr>
            <w:rStyle w:val="Hyperlink"/>
          </w:rPr>
          <w:t xml:space="preserve">https://doi.org/10.1037/a0018113</w:t>
        </w:r>
      </w:hyperlink>
    </w:p>
    <w:bookmarkEnd w:id="76"/>
    <w:bookmarkStart w:id="7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7">
        <w:r>
          <w:rPr>
            <w:rStyle w:val="Hyperlink"/>
          </w:rPr>
          <w:t xml:space="preserve">https://doi.org/10.1037/rev0000334</w:t>
        </w:r>
      </w:hyperlink>
    </w:p>
    <w:bookmarkEnd w:id="78"/>
    <w:bookmarkStart w:id="8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79">
        <w:r>
          <w:rPr>
            <w:rStyle w:val="Hyperlink"/>
          </w:rPr>
          <w:t xml:space="preserve">https://doi.org/10.1016/j.jbtep.2011.10.008</w:t>
        </w:r>
      </w:hyperlink>
    </w:p>
    <w:bookmarkEnd w:id="80"/>
    <w:bookmarkStart w:id="8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1"/>
    <w:bookmarkStart w:id="8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2">
        <w:r>
          <w:rPr>
            <w:rStyle w:val="Hyperlink"/>
          </w:rPr>
          <w:t xml:space="preserve">https://doi.org/10.1016/S0005-7967(99)00123-0</w:t>
        </w:r>
      </w:hyperlink>
    </w:p>
    <w:bookmarkEnd w:id="83"/>
    <w:bookmarkStart w:id="85"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4">
        <w:r>
          <w:rPr>
            <w:rStyle w:val="Hyperlink"/>
          </w:rPr>
          <w:t xml:space="preserve">https://doi.org/10.1016/j.actpsy.2007.11.002</w:t>
        </w:r>
      </w:hyperlink>
    </w:p>
    <w:bookmarkEnd w:id="85"/>
    <w:bookmarkStart w:id="87"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6">
        <w:r>
          <w:rPr>
            <w:rStyle w:val="Hyperlink"/>
          </w:rPr>
          <w:t xml:space="preserve">https://doi.org/10.1037/0096-3445.133.1.3</w:t>
        </w:r>
      </w:hyperlink>
    </w:p>
    <w:bookmarkEnd w:id="87"/>
    <w:bookmarkStart w:id="89"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8">
        <w:r>
          <w:rPr>
            <w:rStyle w:val="Hyperlink"/>
          </w:rPr>
          <w:t xml:space="preserve">https://doi.org/10.1371/journal.pone.0004153</w:t>
        </w:r>
      </w:hyperlink>
    </w:p>
    <w:bookmarkEnd w:id="89"/>
    <w:bookmarkStart w:id="91"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90">
        <w:r>
          <w:rPr>
            <w:rStyle w:val="Hyperlink"/>
          </w:rPr>
          <w:t xml:space="preserve">https://doi.org/10.1371/journal.pone.0013706</w:t>
        </w:r>
      </w:hyperlink>
    </w:p>
    <w:bookmarkEnd w:id="91"/>
    <w:bookmarkStart w:id="93"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2">
        <w:r>
          <w:rPr>
            <w:rStyle w:val="Hyperlink"/>
          </w:rPr>
          <w:t xml:space="preserve">https://doi.org/10.1016/j.brat.2017.03.018</w:t>
        </w:r>
      </w:hyperlink>
    </w:p>
    <w:bookmarkEnd w:id="93"/>
    <w:bookmarkStart w:id="95"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4">
        <w:r>
          <w:rPr>
            <w:rStyle w:val="Hyperlink"/>
          </w:rPr>
          <w:t xml:space="preserve">https://doi.org/10.1006/jmps.2001.1388</w:t>
        </w:r>
      </w:hyperlink>
    </w:p>
    <w:bookmarkEnd w:id="95"/>
    <w:bookmarkStart w:id="96"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6"/>
    <w:bookmarkStart w:id="9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7">
        <w:r>
          <w:rPr>
            <w:rStyle w:val="Hyperlink"/>
          </w:rPr>
          <w:t xml:space="preserve">https://doi.org/10.1038/mp.2017.23</w:t>
        </w:r>
      </w:hyperlink>
    </w:p>
    <w:bookmarkEnd w:id="98"/>
    <w:bookmarkStart w:id="100"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99">
        <w:r>
          <w:rPr>
            <w:rStyle w:val="Hyperlink"/>
          </w:rPr>
          <w:t xml:space="preserve">https://doi.org/10.1016/j.cpr.2018.08.005</w:t>
        </w:r>
      </w:hyperlink>
    </w:p>
    <w:bookmarkEnd w:id="100"/>
    <w:bookmarkStart w:id="102"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1">
        <w:r>
          <w:rPr>
            <w:rStyle w:val="Hyperlink"/>
          </w:rPr>
          <w:t xml:space="preserve">https://doi.org/10.1177/0956797615583071</w:t>
        </w:r>
      </w:hyperlink>
    </w:p>
    <w:bookmarkEnd w:id="102"/>
    <w:bookmarkStart w:id="104"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3">
        <w:r>
          <w:rPr>
            <w:rStyle w:val="Hyperlink"/>
          </w:rPr>
          <w:t xml:space="preserve">https://doi.org/10.1016/j.cpr.2016.04.010</w:t>
        </w:r>
      </w:hyperlink>
    </w:p>
    <w:bookmarkEnd w:id="104"/>
    <w:bookmarkStart w:id="105"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5"/>
    <w:bookmarkStart w:id="107"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6">
        <w:r>
          <w:rPr>
            <w:rStyle w:val="Hyperlink"/>
          </w:rPr>
          <w:t xml:space="preserve">https://doi.org/10.1002/cpp.2489</w:t>
        </w:r>
      </w:hyperlink>
    </w:p>
    <w:bookmarkEnd w:id="107"/>
    <w:bookmarkStart w:id="10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8">
        <w:r>
          <w:rPr>
            <w:rStyle w:val="Hyperlink"/>
          </w:rPr>
          <w:t xml:space="preserve">https://doi.org/10.1016/j.jbtep.2019.01.006</w:t>
        </w:r>
      </w:hyperlink>
    </w:p>
    <w:bookmarkEnd w:id="109"/>
    <w:bookmarkStart w:id="11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10">
        <w:r>
          <w:rPr>
            <w:rStyle w:val="Hyperlink"/>
          </w:rPr>
          <w:t xml:space="preserve">https://doi.org/10.1038/nn.2271</w:t>
        </w:r>
      </w:hyperlink>
    </w:p>
    <w:bookmarkEnd w:id="111"/>
    <w:bookmarkStart w:id="113"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2">
        <w:r>
          <w:rPr>
            <w:rStyle w:val="Hyperlink"/>
          </w:rPr>
          <w:t xml:space="preserve">https://doi.org/10.1002/acp.1611</w:t>
        </w:r>
      </w:hyperlink>
    </w:p>
    <w:bookmarkEnd w:id="113"/>
    <w:bookmarkStart w:id="115"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4">
        <w:r>
          <w:rPr>
            <w:rStyle w:val="Hyperlink"/>
          </w:rPr>
          <w:t xml:space="preserve">https://doi.org/10.1037/xge0000598</w:t>
        </w:r>
      </w:hyperlink>
    </w:p>
    <w:bookmarkEnd w:id="115"/>
    <w:bookmarkStart w:id="117"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6">
        <w:r>
          <w:rPr>
            <w:rStyle w:val="Hyperlink"/>
          </w:rPr>
          <w:t xml:space="preserve">https://doi.org/10.1177/2167702621998315</w:t>
        </w:r>
      </w:hyperlink>
    </w:p>
    <w:bookmarkEnd w:id="117"/>
    <w:bookmarkStart w:id="11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8">
        <w:r>
          <w:rPr>
            <w:rStyle w:val="Hyperlink"/>
          </w:rPr>
          <w:t xml:space="preserve">https://doi.org/10.1037/a0039036</w:t>
        </w:r>
      </w:hyperlink>
    </w:p>
    <w:bookmarkEnd w:id="119"/>
    <w:bookmarkStart w:id="12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20">
        <w:r>
          <w:rPr>
            <w:rStyle w:val="Hyperlink"/>
          </w:rPr>
          <w:t xml:space="preserve">https://doi.org/10.1037/a0014420</w:t>
        </w:r>
      </w:hyperlink>
    </w:p>
    <w:bookmarkEnd w:id="121"/>
    <w:bookmarkStart w:id="12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2">
        <w:r>
          <w:rPr>
            <w:rStyle w:val="Hyperlink"/>
          </w:rPr>
          <w:t xml:space="preserve">https://doi.org/10.1016/j.neuropsychologia.2009.02.013</w:t>
        </w:r>
      </w:hyperlink>
    </w:p>
    <w:bookmarkEnd w:id="123"/>
    <w:bookmarkStart w:id="12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4">
        <w:r>
          <w:rPr>
            <w:rStyle w:val="Hyperlink"/>
          </w:rPr>
          <w:t xml:space="preserve">https://doi.org/10.3758/s13423-011-0086-9</w:t>
        </w:r>
      </w:hyperlink>
    </w:p>
    <w:bookmarkEnd w:id="125"/>
    <w:bookmarkStart w:id="12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6">
        <w:r>
          <w:rPr>
            <w:rStyle w:val="Hyperlink"/>
          </w:rPr>
          <w:t xml:space="preserve">https://doi.org/10.1037/a0013396</w:t>
        </w:r>
      </w:hyperlink>
    </w:p>
    <w:bookmarkEnd w:id="127"/>
    <w:bookmarkStart w:id="12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8">
        <w:r>
          <w:rPr>
            <w:rStyle w:val="Hyperlink"/>
          </w:rPr>
          <w:t xml:space="preserve">https://doi.org/10.1037/rev0000132</w:t>
        </w:r>
      </w:hyperlink>
    </w:p>
    <w:bookmarkEnd w:id="129"/>
    <w:bookmarkStart w:id="13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30">
        <w:r>
          <w:rPr>
            <w:rStyle w:val="Hyperlink"/>
          </w:rPr>
          <w:t xml:space="preserve">https://doi.org/10.1038/s41562-024-01956-y</w:t>
        </w:r>
      </w:hyperlink>
    </w:p>
    <w:bookmarkEnd w:id="131"/>
    <w:bookmarkStart w:id="13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2">
        <w:r>
          <w:rPr>
            <w:rStyle w:val="Hyperlink"/>
          </w:rPr>
          <w:t xml:space="preserve">https://doi.org/10.1525/collabra.130791</w:t>
        </w:r>
      </w:hyperlink>
    </w:p>
    <w:bookmarkEnd w:id="133"/>
    <w:bookmarkStart w:id="135"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4">
        <w:r>
          <w:rPr>
            <w:rStyle w:val="Hyperlink"/>
          </w:rPr>
          <w:t xml:space="preserve">https://doi.org/10.1038/s41583-019-0150-4</w:t>
        </w:r>
      </w:hyperlink>
    </w:p>
    <w:bookmarkEnd w:id="135"/>
    <w:bookmarkStart w:id="137"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6">
        <w:r>
          <w:rPr>
            <w:rStyle w:val="Hyperlink"/>
          </w:rPr>
          <w:t xml:space="preserve">https://doi.org/10.1037/0278-7393.32.4.792</w:t>
        </w:r>
      </w:hyperlink>
    </w:p>
    <w:bookmarkEnd w:id="137"/>
    <w:bookmarkEnd w:id="138"/>
    <w:bookmarkEnd w:id="13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25" Target="media/rId25.png" /><Relationship Type="http://schemas.openxmlformats.org/officeDocument/2006/relationships/hyperlink" Id="rId112" Target="https://doi.org/10.1002/acp.1611" TargetMode="External" /><Relationship Type="http://schemas.openxmlformats.org/officeDocument/2006/relationships/hyperlink" Id="rId106" Target="https://doi.org/10.1002/cpp.2489" TargetMode="External" /><Relationship Type="http://schemas.openxmlformats.org/officeDocument/2006/relationships/hyperlink" Id="rId94" Target="https://doi.org/10.1006/jmps.2001.1388" TargetMode="External" /><Relationship Type="http://schemas.openxmlformats.org/officeDocument/2006/relationships/hyperlink" Id="rId82" Target="https://doi.org/10.1016/S0005-7967(99)00123-0" TargetMode="External" /><Relationship Type="http://schemas.openxmlformats.org/officeDocument/2006/relationships/hyperlink" Id="rId84" Target="https://doi.org/10.1016/j.actpsy.2007.11.002" TargetMode="External" /><Relationship Type="http://schemas.openxmlformats.org/officeDocument/2006/relationships/hyperlink" Id="rId92" Target="https://doi.org/10.1016/j.brat.2017.03.018" TargetMode="External" /><Relationship Type="http://schemas.openxmlformats.org/officeDocument/2006/relationships/hyperlink" Id="rId103" Target="https://doi.org/10.1016/j.cpr.2016.04.010" TargetMode="External" /><Relationship Type="http://schemas.openxmlformats.org/officeDocument/2006/relationships/hyperlink" Id="rId99" Target="https://doi.org/10.1016/j.cpr.2018.08.005" TargetMode="External" /><Relationship Type="http://schemas.openxmlformats.org/officeDocument/2006/relationships/hyperlink" Id="rId79" Target="https://doi.org/10.1016/j.jbtep.2011.10.008" TargetMode="External" /><Relationship Type="http://schemas.openxmlformats.org/officeDocument/2006/relationships/hyperlink" Id="rId108" Target="https://doi.org/10.1016/j.jbtep.2019.01.006" TargetMode="External" /><Relationship Type="http://schemas.openxmlformats.org/officeDocument/2006/relationships/hyperlink" Id="rId69" Target="https://doi.org/10.1016/j.jpsychires.2023.01.028" TargetMode="External" /><Relationship Type="http://schemas.openxmlformats.org/officeDocument/2006/relationships/hyperlink" Id="rId122" Target="https://doi.org/10.1016/j.neuropsychologia.2009.02.013" TargetMode="External" /><Relationship Type="http://schemas.openxmlformats.org/officeDocument/2006/relationships/hyperlink" Id="rId73" Target="https://doi.org/10.1037/0033-295X.103.4.670" TargetMode="External" /><Relationship Type="http://schemas.openxmlformats.org/officeDocument/2006/relationships/hyperlink" Id="rId86" Target="https://doi.org/10.1037/0096-3445.133.1.3" TargetMode="External" /><Relationship Type="http://schemas.openxmlformats.org/officeDocument/2006/relationships/hyperlink" Id="rId136" Target="https://doi.org/10.1037/0278-7393.32.4.792" TargetMode="External" /><Relationship Type="http://schemas.openxmlformats.org/officeDocument/2006/relationships/hyperlink" Id="rId126" Target="https://doi.org/10.1037/a0013396" TargetMode="External" /><Relationship Type="http://schemas.openxmlformats.org/officeDocument/2006/relationships/hyperlink" Id="rId120" Target="https://doi.org/10.1037/a0014420" TargetMode="External" /><Relationship Type="http://schemas.openxmlformats.org/officeDocument/2006/relationships/hyperlink" Id="rId75" Target="https://doi.org/10.1037/a0018113" TargetMode="External" /><Relationship Type="http://schemas.openxmlformats.org/officeDocument/2006/relationships/hyperlink" Id="rId71" Target="https://doi.org/10.1037/a0033722" TargetMode="External" /><Relationship Type="http://schemas.openxmlformats.org/officeDocument/2006/relationships/hyperlink" Id="rId118" Target="https://doi.org/10.1037/a0039036" TargetMode="External" /><Relationship Type="http://schemas.openxmlformats.org/officeDocument/2006/relationships/hyperlink" Id="rId128" Target="https://doi.org/10.1037/rev0000132" TargetMode="External" /><Relationship Type="http://schemas.openxmlformats.org/officeDocument/2006/relationships/hyperlink" Id="rId77" Target="https://doi.org/10.1037/rev0000334" TargetMode="External" /><Relationship Type="http://schemas.openxmlformats.org/officeDocument/2006/relationships/hyperlink" Id="rId114" Target="https://doi.org/10.1037/xge0000598" TargetMode="External" /><Relationship Type="http://schemas.openxmlformats.org/officeDocument/2006/relationships/hyperlink" Id="rId97" Target="https://doi.org/10.1038/mp.2017.23" TargetMode="External" /><Relationship Type="http://schemas.openxmlformats.org/officeDocument/2006/relationships/hyperlink" Id="rId110" Target="https://doi.org/10.1038/nn.2271" TargetMode="External" /><Relationship Type="http://schemas.openxmlformats.org/officeDocument/2006/relationships/hyperlink" Id="rId130" Target="https://doi.org/10.1038/s41562-024-01956-y" TargetMode="External" /><Relationship Type="http://schemas.openxmlformats.org/officeDocument/2006/relationships/hyperlink" Id="rId134" Target="https://doi.org/10.1038/s41583-019-0150-4" TargetMode="External" /><Relationship Type="http://schemas.openxmlformats.org/officeDocument/2006/relationships/hyperlink" Id="rId101" Target="https://doi.org/10.1177/0956797615583071" TargetMode="External" /><Relationship Type="http://schemas.openxmlformats.org/officeDocument/2006/relationships/hyperlink" Id="rId116" Target="https://doi.org/10.1177/2167702621998315" TargetMode="External" /><Relationship Type="http://schemas.openxmlformats.org/officeDocument/2006/relationships/hyperlink" Id="rId88" Target="https://doi.org/10.1371/journal.pone.0004153" TargetMode="External" /><Relationship Type="http://schemas.openxmlformats.org/officeDocument/2006/relationships/hyperlink" Id="rId90" Target="https://doi.org/10.1371/journal.pone.0013706" TargetMode="External" /><Relationship Type="http://schemas.openxmlformats.org/officeDocument/2006/relationships/hyperlink" Id="rId132" Target="https://doi.org/10.1525/collabra.130791" TargetMode="External" /><Relationship Type="http://schemas.openxmlformats.org/officeDocument/2006/relationships/hyperlink" Id="rId124"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acp.1611" TargetMode="External" /><Relationship Type="http://schemas.openxmlformats.org/officeDocument/2006/relationships/hyperlink" Id="rId106" Target="https://doi.org/10.1002/cpp.2489" TargetMode="External" /><Relationship Type="http://schemas.openxmlformats.org/officeDocument/2006/relationships/hyperlink" Id="rId94" Target="https://doi.org/10.1006/jmps.2001.1388" TargetMode="External" /><Relationship Type="http://schemas.openxmlformats.org/officeDocument/2006/relationships/hyperlink" Id="rId82" Target="https://doi.org/10.1016/S0005-7967(99)00123-0" TargetMode="External" /><Relationship Type="http://schemas.openxmlformats.org/officeDocument/2006/relationships/hyperlink" Id="rId84" Target="https://doi.org/10.1016/j.actpsy.2007.11.002" TargetMode="External" /><Relationship Type="http://schemas.openxmlformats.org/officeDocument/2006/relationships/hyperlink" Id="rId92" Target="https://doi.org/10.1016/j.brat.2017.03.018" TargetMode="External" /><Relationship Type="http://schemas.openxmlformats.org/officeDocument/2006/relationships/hyperlink" Id="rId103" Target="https://doi.org/10.1016/j.cpr.2016.04.010" TargetMode="External" /><Relationship Type="http://schemas.openxmlformats.org/officeDocument/2006/relationships/hyperlink" Id="rId99" Target="https://doi.org/10.1016/j.cpr.2018.08.005" TargetMode="External" /><Relationship Type="http://schemas.openxmlformats.org/officeDocument/2006/relationships/hyperlink" Id="rId79" Target="https://doi.org/10.1016/j.jbtep.2011.10.008" TargetMode="External" /><Relationship Type="http://schemas.openxmlformats.org/officeDocument/2006/relationships/hyperlink" Id="rId108" Target="https://doi.org/10.1016/j.jbtep.2019.01.006" TargetMode="External" /><Relationship Type="http://schemas.openxmlformats.org/officeDocument/2006/relationships/hyperlink" Id="rId69" Target="https://doi.org/10.1016/j.jpsychires.2023.01.028" TargetMode="External" /><Relationship Type="http://schemas.openxmlformats.org/officeDocument/2006/relationships/hyperlink" Id="rId122" Target="https://doi.org/10.1016/j.neuropsychologia.2009.02.013" TargetMode="External" /><Relationship Type="http://schemas.openxmlformats.org/officeDocument/2006/relationships/hyperlink" Id="rId73" Target="https://doi.org/10.1037/0033-295X.103.4.670" TargetMode="External" /><Relationship Type="http://schemas.openxmlformats.org/officeDocument/2006/relationships/hyperlink" Id="rId86" Target="https://doi.org/10.1037/0096-3445.133.1.3" TargetMode="External" /><Relationship Type="http://schemas.openxmlformats.org/officeDocument/2006/relationships/hyperlink" Id="rId136" Target="https://doi.org/10.1037/0278-7393.32.4.792" TargetMode="External" /><Relationship Type="http://schemas.openxmlformats.org/officeDocument/2006/relationships/hyperlink" Id="rId126" Target="https://doi.org/10.1037/a0013396" TargetMode="External" /><Relationship Type="http://schemas.openxmlformats.org/officeDocument/2006/relationships/hyperlink" Id="rId120" Target="https://doi.org/10.1037/a0014420" TargetMode="External" /><Relationship Type="http://schemas.openxmlformats.org/officeDocument/2006/relationships/hyperlink" Id="rId75" Target="https://doi.org/10.1037/a0018113" TargetMode="External" /><Relationship Type="http://schemas.openxmlformats.org/officeDocument/2006/relationships/hyperlink" Id="rId71" Target="https://doi.org/10.1037/a0033722" TargetMode="External" /><Relationship Type="http://schemas.openxmlformats.org/officeDocument/2006/relationships/hyperlink" Id="rId118" Target="https://doi.org/10.1037/a0039036" TargetMode="External" /><Relationship Type="http://schemas.openxmlformats.org/officeDocument/2006/relationships/hyperlink" Id="rId128" Target="https://doi.org/10.1037/rev0000132" TargetMode="External" /><Relationship Type="http://schemas.openxmlformats.org/officeDocument/2006/relationships/hyperlink" Id="rId77" Target="https://doi.org/10.1037/rev0000334" TargetMode="External" /><Relationship Type="http://schemas.openxmlformats.org/officeDocument/2006/relationships/hyperlink" Id="rId114" Target="https://doi.org/10.1037/xge0000598" TargetMode="External" /><Relationship Type="http://schemas.openxmlformats.org/officeDocument/2006/relationships/hyperlink" Id="rId97" Target="https://doi.org/10.1038/mp.2017.23" TargetMode="External" /><Relationship Type="http://schemas.openxmlformats.org/officeDocument/2006/relationships/hyperlink" Id="rId110" Target="https://doi.org/10.1038/nn.2271" TargetMode="External" /><Relationship Type="http://schemas.openxmlformats.org/officeDocument/2006/relationships/hyperlink" Id="rId130" Target="https://doi.org/10.1038/s41562-024-01956-y" TargetMode="External" /><Relationship Type="http://schemas.openxmlformats.org/officeDocument/2006/relationships/hyperlink" Id="rId134" Target="https://doi.org/10.1038/s41583-019-0150-4" TargetMode="External" /><Relationship Type="http://schemas.openxmlformats.org/officeDocument/2006/relationships/hyperlink" Id="rId101" Target="https://doi.org/10.1177/0956797615583071" TargetMode="External" /><Relationship Type="http://schemas.openxmlformats.org/officeDocument/2006/relationships/hyperlink" Id="rId116" Target="https://doi.org/10.1177/2167702621998315" TargetMode="External" /><Relationship Type="http://schemas.openxmlformats.org/officeDocument/2006/relationships/hyperlink" Id="rId88" Target="https://doi.org/10.1371/journal.pone.0004153" TargetMode="External" /><Relationship Type="http://schemas.openxmlformats.org/officeDocument/2006/relationships/hyperlink" Id="rId90" Target="https://doi.org/10.1371/journal.pone.0013706" TargetMode="External" /><Relationship Type="http://schemas.openxmlformats.org/officeDocument/2006/relationships/hyperlink" Id="rId132" Target="https://doi.org/10.1525/collabra.130791" TargetMode="External" /><Relationship Type="http://schemas.openxmlformats.org/officeDocument/2006/relationships/hyperlink" Id="rId124"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2026-05-22T12:53:17Z</dcterms:created>
  <dcterms:modified xsi:type="dcterms:W3CDTF">2026-05-22T12:53:17Z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