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retrieved-context account of selective interference in intrusive and voluntary remembering</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work/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interaction among reminder condition, intervening task, and retrieval condition.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work/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work/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reminder or test cue is presented. (B) The interference manipulation changes which context states task items are linked to during encoding. Without a pre-task reminder, task items are encoded after context has drifted away from the film. With a pre-task film reminder, task encoding occurs after film-associated context has been reinstated, so task items are learned in context states that overlap with film context. Thus, the same context that can cue film items can also cue task competitors during later retrieval. When task encoding is strong, those task items become stronger competitors during later context-guided retrieval. Circles mark item features: F labels film items and T labels task items. Squares mark context states. Blue marks film items or film-linked context, orange marks task items or task-linked context, green marks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work/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Stored film and task associations can be sampled from different starting contexts. Unguided retrieval begins from ongoing context, which can support film and task candidates together. Deliberate recall can begin with start-of-film context reinstatement, which favors film candidates while leaving task candidates possible. (B) A maintained film goal provides an additional deliberate-retrieval signal during context-to-feature sampling. Ongoing context can still cue both film items and task competitors, but the maintained goal adds support to film candidates rather than to task competitors. (C) Rows compare film recall, unmonitored task recall, and monitored task recall. Sampled outputs update the next retrieval context through feature-to-context memory. Recalling a film item keeps later search biased toward film candidates. Recalling a task item without monitoring can shift later context toward task candidates. With retrieval monitoring, the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0489"/>
            <wp:effectExtent b="0" l="0" r="0" t="0"/>
            <wp:docPr descr="" title="" id="36" name="Picture"/>
            <a:graphic>
              <a:graphicData uri="http://schemas.openxmlformats.org/drawingml/2006/picture">
                <pic:pic>
                  <pic:nvPicPr>
                    <pic:cNvPr descr="../work/simulation1_unguided_cued/simulation1_unguided_cued_sequence_summary.png" id="37" name="Picture"/>
                    <pic:cNvPicPr>
                      <a:picLocks noChangeArrowheads="1" noChangeAspect="1"/>
                    </pic:cNvPicPr>
                  </pic:nvPicPr>
                  <pic:blipFill>
                    <a:blip r:embed="rId35"/>
                    <a:stretch>
                      <a:fillRect/>
                    </a:stretch>
                  </pic:blipFill>
                  <pic:spPr bwMode="auto">
                    <a:xfrm>
                      <a:off x="0" y="0"/>
                      <a:ext cx="5334000" cy="4710489"/>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1008"/>
            <wp:effectExtent b="0" l="0" r="0" t="0"/>
            <wp:docPr descr="" title="" id="39" name="Picture"/>
            <a:graphic>
              <a:graphicData uri="http://schemas.openxmlformats.org/drawingml/2006/picture">
                <pic:pic>
                  <pic:nvPicPr>
                    <pic:cNvPr descr="../work/simulation1_unguided_cued/simulation1_unguided_cued_recall_distributions.png" id="40" name="Picture"/>
                    <pic:cNvPicPr>
                      <a:picLocks noChangeArrowheads="1" noChangeAspect="1"/>
                    </pic:cNvPicPr>
                  </pic:nvPicPr>
                  <pic:blipFill>
                    <a:blip r:embed="rId38"/>
                    <a:stretch>
                      <a:fillRect/>
                    </a:stretch>
                  </pic:blipFill>
                  <pic:spPr bwMode="auto">
                    <a:xfrm>
                      <a:off x="0" y="0"/>
                      <a:ext cx="5334000" cy="5011008"/>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73804"/>
            <wp:effectExtent b="0" l="0" r="0" t="0"/>
            <wp:docPr descr="" title="" id="42" name="Picture"/>
            <a:graphic>
              <a:graphicData uri="http://schemas.openxmlformats.org/drawingml/2006/picture">
                <pic:pic>
                  <pic:nvPicPr>
                    <pic:cNvPr descr="../work/simulation1_unguided_cued/simulation1_unguided_cued_context_overlap.png" id="43" name="Picture"/>
                    <pic:cNvPicPr>
                      <a:picLocks noChangeArrowheads="1" noChangeAspect="1"/>
                    </pic:cNvPicPr>
                  </pic:nvPicPr>
                  <pic:blipFill>
                    <a:blip r:embed="rId4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work/simulation2_control_cued_behavioral/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film-retrieval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work/simulation2_retrieval_control_decomposition/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73804"/>
            <wp:effectExtent b="0" l="0" r="0" t="0"/>
            <wp:docPr descr="" title="" id="52" name="Picture"/>
            <a:graphic>
              <a:graphicData uri="http://schemas.openxmlformats.org/drawingml/2006/picture">
                <pic:pic>
                  <pic:nvPicPr>
                    <pic:cNvPr descr="../work/simulation2_film_retrieval_goal_context_overlap/simulation2_film_retrieval_goal_context_overlap.png" id="53" name="Picture"/>
                    <pic:cNvPicPr>
                      <a:picLocks noChangeArrowheads="1" noChangeAspect="1"/>
                    </pic:cNvPicPr>
                  </pic:nvPicPr>
                  <pic:blipFill>
                    <a:blip r:embed="rId51"/>
                    <a:stretch>
                      <a:fillRect/>
                    </a:stretch>
                  </pic:blipFill>
                  <pic:spPr bwMode="auto">
                    <a:xfrm>
                      <a:off x="0" y="0"/>
                      <a:ext cx="5334000" cy="5073804"/>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36698"/>
            <wp:effectExtent b="0" l="0" r="0" t="0"/>
            <wp:docPr descr="" title="" id="55" name="Picture"/>
            <a:graphic>
              <a:graphicData uri="http://schemas.openxmlformats.org/drawingml/2006/picture">
                <pic:pic>
                  <pic:nvPicPr>
                    <pic:cNvPr descr="../work/simulation2_start_context_reinstatement/simulation2_start_context_reinstatement.png" id="56" name="Picture"/>
                    <pic:cNvPicPr>
                      <a:picLocks noChangeArrowheads="1" noChangeAspect="1"/>
                    </pic:cNvPicPr>
                  </pic:nvPicPr>
                  <pic:blipFill>
                    <a:blip r:embed="rId54"/>
                    <a:stretch>
                      <a:fillRect/>
                    </a:stretch>
                  </pic:blipFill>
                  <pic:spPr bwMode="auto">
                    <a:xfrm>
                      <a:off x="0" y="0"/>
                      <a:ext cx="5334000" cy="5036698"/>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0611"/>
            <wp:effectExtent b="0" l="0" r="0" t="0"/>
            <wp:docPr descr="" title="" id="58" name="Picture"/>
            <a:graphic>
              <a:graphicData uri="http://schemas.openxmlformats.org/drawingml/2006/picture">
                <pic:pic>
                  <pic:nvPicPr>
                    <pic:cNvPr descr="../work/simulation2_target_monitoring_diagnostic/simulation2_target_monitoring_diagnostic.png" id="59" name="Picture"/>
                    <pic:cNvPicPr>
                      <a:picLocks noChangeArrowheads="1" noChangeAspect="1"/>
                    </pic:cNvPicPr>
                  </pic:nvPicPr>
                  <pic:blipFill>
                    <a:blip r:embed="rId57"/>
                    <a:stretch>
                      <a:fillRect/>
                    </a:stretch>
                  </pic:blipFill>
                  <pic:spPr bwMode="auto">
                    <a:xfrm>
                      <a:off x="0" y="0"/>
                      <a:ext cx="5334000" cy="5060611"/>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p>
      <w:r>
        <w:br w:type="page"/>
      </w:r>
    </w:p>
    <w:bookmarkEnd w:id="60"/>
    <w:bookmarkStart w:id="64" w:name="recognition-like-test-format"/>
    <w:p>
      <w:pPr>
        <w:pStyle w:val="Heading1"/>
      </w:pPr>
      <w:r>
        <w:t xml:space="preserve">Recognition-Like Test Format</w:t>
      </w:r>
    </w:p>
    <w:p>
      <w:pPr>
        <w:pStyle w:val="FirstParagraph"/>
      </w:pPr>
      <w:r>
        <w:drawing>
          <wp:inline>
            <wp:extent cx="5334000" cy="3873500"/>
            <wp:effectExtent b="0" l="0" r="0" t="0"/>
            <wp:docPr descr="" title="" id="62" name="Picture"/>
            <a:graphic>
              <a:graphicData uri="http://schemas.openxmlformats.org/drawingml/2006/picture">
                <pic:pic>
                  <pic:nvPicPr>
                    <pic:cNvPr descr="../work/simulation4_recognition_full_figure/item_context_recognition.png" id="63" name="Picture"/>
                    <pic:cNvPicPr>
                      <a:picLocks noChangeArrowheads="1" noChangeAspect="1"/>
                    </pic:cNvPicPr>
                  </pic:nvPicPr>
                  <pic:blipFill>
                    <a:blip r:embed="rId61"/>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Figure 13.</w:t>
      </w:r>
      <w:r>
        <w:t xml:space="preserve"> </w:t>
      </w:r>
      <w:r>
        <w:rPr>
          <w:b/>
          <w:bCs/>
        </w:rPr>
        <w:t xml:space="preserve">Item-to-context retrieval bypasses reminder-linked task interference.</w:t>
      </w:r>
      <w:r>
        <w:t xml:space="preserve"> </w:t>
      </w:r>
      <w:r>
        <w:t xml:space="preserve">(A) CMR stores bidirectional associations between item features and context. Feature-to-context memory lets an available item reinstate its associated context, whereas context-to-feature memory lets context cue candidate items. (B) When film-associated context cues items, film items and reminder-linked task items can both receive support. When a film item reinstates context, retrieval targets context units instead, so task items are not competitors in that step. (C) In recognition, the tested film item is already available. The item retrieves associated context, which is compared with ongoing test context; stronger matches provide stronger evidence that the item appeared in the film. (D) Film recognition accuracy is plotted across the same reminder and task-encoding conditions used in the recall simulations. Accuracy is hit rate minus false-alarm rate for unstudied film-like lures. The reminder-plus-strong-task condition does not produce a corresponding reduction in recognition accuracy.</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retrieved-context account of selective interference in intrusive and voluntary remembering</dc:title>
  <dc:creator>Jordan B Gunn</dc:creator>
  <cp:keywords>intrusive memories, voluntary memory, trauma-film paradigm, visuospatial intervention, selective interference, retrieved-context theory, computational modeling</cp:keywords>
  <dcterms:created xsi:type="dcterms:W3CDTF">2026-07-01T15:38:54Z</dcterms:created>
  <dcterms:modified xsi:type="dcterms:W3CDTF">2026-07-01T15:38:54Z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Retrieved context and selective interference</vt:lpwstr>
  </property>
  <property fmtid="{D5CDD505-2E9C-101B-9397-08002B2CF9AE}" pid="13" name="toc-title">
    <vt:lpwstr>Table of contents</vt:lpwstr>
  </property>
</Properties>
</file>