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ADF8A2" w14:textId="21DA1500" w:rsidR="00A4068C" w:rsidRPr="00243606" w:rsidRDefault="00243606" w:rsidP="00243606">
      <w:pPr>
        <w:jc w:val="center"/>
        <w:rPr>
          <w:b/>
          <w:bCs/>
          <w:sz w:val="32"/>
          <w:szCs w:val="32"/>
          <w:lang w:val="nl-NL"/>
        </w:rPr>
      </w:pPr>
      <w:r w:rsidRPr="00243606">
        <w:rPr>
          <w:b/>
          <w:bCs/>
          <w:sz w:val="32"/>
          <w:szCs w:val="32"/>
          <w:lang w:val="nl-NL"/>
        </w:rPr>
        <w:t>Interpreting the UCI Absenteeism dataset</w:t>
      </w:r>
    </w:p>
    <w:p w14:paraId="1640FD6F" w14:textId="264B5800" w:rsidR="00243606" w:rsidRPr="00027C16" w:rsidRDefault="00243606" w:rsidP="00243606">
      <w:pPr>
        <w:rPr>
          <w:b/>
          <w:bCs/>
          <w:sz w:val="32"/>
          <w:szCs w:val="32"/>
          <w:lang w:val="nl-NL"/>
        </w:rPr>
      </w:pPr>
      <w:r w:rsidRPr="00027C16">
        <w:rPr>
          <w:b/>
          <w:bCs/>
          <w:sz w:val="32"/>
          <w:szCs w:val="32"/>
          <w:lang w:val="nl-NL"/>
        </w:rPr>
        <w:t>Overview</w:t>
      </w:r>
    </w:p>
    <w:p w14:paraId="0110D73D" w14:textId="5F835658" w:rsidR="00243606" w:rsidRDefault="00027C16" w:rsidP="00243606">
      <w:pPr>
        <w:rPr>
          <w:sz w:val="20"/>
          <w:szCs w:val="20"/>
        </w:rPr>
      </w:pPr>
      <w:r>
        <w:rPr>
          <w:sz w:val="20"/>
          <w:szCs w:val="20"/>
        </w:rPr>
        <w:t>Initially, the data was subdivided into 29 reasons for absence. In order to make sense of a small dataset with many features, the reasons for absence were clustered as shown below. This table includes median and mean hours absent per instance, total frequency, and the standard deviation of the hours absent.</w:t>
      </w:r>
    </w:p>
    <w:p w14:paraId="50130A40" w14:textId="2BCABA16" w:rsidR="00027C16" w:rsidRPr="00027C16" w:rsidRDefault="00027C16" w:rsidP="00027C16">
      <w:pPr>
        <w:ind w:left="720"/>
        <w:rPr>
          <w:sz w:val="20"/>
          <w:szCs w:val="20"/>
        </w:rPr>
      </w:pPr>
      <w:r w:rsidRPr="00027C16">
        <w:rPr>
          <w:i/>
          <w:iCs/>
          <w:sz w:val="20"/>
          <w:szCs w:val="20"/>
        </w:rPr>
        <w:t xml:space="preserve">           Table 1: Absenteeism in hours</w:t>
      </w:r>
    </w:p>
    <w:tbl>
      <w:tblPr>
        <w:tblStyle w:val="TableGrid"/>
        <w:tblW w:w="0" w:type="auto"/>
        <w:tblInd w:w="1203" w:type="dxa"/>
        <w:tblLook w:val="04A0" w:firstRow="1" w:lastRow="0" w:firstColumn="1" w:lastColumn="0" w:noHBand="0" w:noVBand="1"/>
      </w:tblPr>
      <w:tblGrid>
        <w:gridCol w:w="1739"/>
        <w:gridCol w:w="960"/>
        <w:gridCol w:w="960"/>
        <w:gridCol w:w="1065"/>
        <w:gridCol w:w="960"/>
      </w:tblGrid>
      <w:tr w:rsidR="00243606" w:rsidRPr="00243606" w14:paraId="6425D5F4" w14:textId="77777777" w:rsidTr="00027C16">
        <w:trPr>
          <w:trHeight w:val="300"/>
        </w:trPr>
        <w:tc>
          <w:tcPr>
            <w:tcW w:w="1739" w:type="dxa"/>
            <w:noWrap/>
            <w:hideMark/>
          </w:tcPr>
          <w:p w14:paraId="022E5936" w14:textId="32C97731" w:rsidR="00243606" w:rsidRPr="00243606" w:rsidRDefault="00243606">
            <w:pPr>
              <w:rPr>
                <w:sz w:val="20"/>
                <w:szCs w:val="20"/>
              </w:rPr>
            </w:pPr>
            <w:r>
              <w:rPr>
                <w:sz w:val="20"/>
                <w:szCs w:val="20"/>
              </w:rPr>
              <w:t>Groups</w:t>
            </w:r>
          </w:p>
        </w:tc>
        <w:tc>
          <w:tcPr>
            <w:tcW w:w="960" w:type="dxa"/>
            <w:noWrap/>
            <w:hideMark/>
          </w:tcPr>
          <w:p w14:paraId="472129AF" w14:textId="53489978" w:rsidR="00243606" w:rsidRPr="00243606" w:rsidRDefault="00243606">
            <w:pPr>
              <w:rPr>
                <w:sz w:val="20"/>
                <w:szCs w:val="20"/>
              </w:rPr>
            </w:pPr>
            <w:r>
              <w:rPr>
                <w:sz w:val="20"/>
                <w:szCs w:val="20"/>
              </w:rPr>
              <w:t>M</w:t>
            </w:r>
            <w:r w:rsidRPr="00243606">
              <w:rPr>
                <w:sz w:val="20"/>
                <w:szCs w:val="20"/>
              </w:rPr>
              <w:t>edian</w:t>
            </w:r>
          </w:p>
        </w:tc>
        <w:tc>
          <w:tcPr>
            <w:tcW w:w="960" w:type="dxa"/>
            <w:noWrap/>
            <w:hideMark/>
          </w:tcPr>
          <w:p w14:paraId="5E48F9D6" w14:textId="14E51D7D" w:rsidR="00243606" w:rsidRPr="00243606" w:rsidRDefault="00243606">
            <w:pPr>
              <w:rPr>
                <w:sz w:val="20"/>
                <w:szCs w:val="20"/>
              </w:rPr>
            </w:pPr>
            <w:r>
              <w:rPr>
                <w:sz w:val="20"/>
                <w:szCs w:val="20"/>
              </w:rPr>
              <w:t>Mean</w:t>
            </w:r>
          </w:p>
        </w:tc>
        <w:tc>
          <w:tcPr>
            <w:tcW w:w="1065" w:type="dxa"/>
            <w:noWrap/>
            <w:hideMark/>
          </w:tcPr>
          <w:p w14:paraId="30A580BA" w14:textId="77777777" w:rsidR="00243606" w:rsidRPr="00243606" w:rsidRDefault="00243606">
            <w:pPr>
              <w:rPr>
                <w:sz w:val="20"/>
                <w:szCs w:val="20"/>
              </w:rPr>
            </w:pPr>
            <w:r w:rsidRPr="00243606">
              <w:rPr>
                <w:sz w:val="20"/>
                <w:szCs w:val="20"/>
              </w:rPr>
              <w:t>Frequency</w:t>
            </w:r>
          </w:p>
        </w:tc>
        <w:tc>
          <w:tcPr>
            <w:tcW w:w="960" w:type="dxa"/>
            <w:noWrap/>
            <w:hideMark/>
          </w:tcPr>
          <w:p w14:paraId="58482E52" w14:textId="69C37EEB" w:rsidR="00243606" w:rsidRPr="00243606" w:rsidRDefault="00243606">
            <w:pPr>
              <w:rPr>
                <w:sz w:val="20"/>
                <w:szCs w:val="20"/>
              </w:rPr>
            </w:pPr>
            <w:r>
              <w:rPr>
                <w:sz w:val="20"/>
                <w:szCs w:val="20"/>
              </w:rPr>
              <w:t>STD</w:t>
            </w:r>
          </w:p>
        </w:tc>
      </w:tr>
      <w:tr w:rsidR="00243606" w:rsidRPr="00243606" w14:paraId="7AB67D40" w14:textId="77777777" w:rsidTr="00027C16">
        <w:trPr>
          <w:trHeight w:val="300"/>
        </w:trPr>
        <w:tc>
          <w:tcPr>
            <w:tcW w:w="1739" w:type="dxa"/>
            <w:noWrap/>
            <w:hideMark/>
          </w:tcPr>
          <w:p w14:paraId="51DD04A4" w14:textId="79F81166" w:rsidR="00243606" w:rsidRPr="00243606" w:rsidRDefault="00243606">
            <w:pPr>
              <w:rPr>
                <w:sz w:val="20"/>
                <w:szCs w:val="20"/>
              </w:rPr>
            </w:pPr>
            <w:r w:rsidRPr="00243606">
              <w:rPr>
                <w:sz w:val="20"/>
                <w:szCs w:val="20"/>
              </w:rPr>
              <w:t>I</w:t>
            </w:r>
            <w:r w:rsidRPr="00243606">
              <w:rPr>
                <w:sz w:val="20"/>
                <w:szCs w:val="20"/>
              </w:rPr>
              <w:t>njury</w:t>
            </w:r>
            <w:r>
              <w:rPr>
                <w:sz w:val="20"/>
                <w:szCs w:val="20"/>
              </w:rPr>
              <w:t xml:space="preserve"> </w:t>
            </w:r>
            <w:r w:rsidRPr="00243606">
              <w:rPr>
                <w:sz w:val="20"/>
                <w:szCs w:val="20"/>
              </w:rPr>
              <w:t>external</w:t>
            </w:r>
          </w:p>
        </w:tc>
        <w:tc>
          <w:tcPr>
            <w:tcW w:w="960" w:type="dxa"/>
            <w:noWrap/>
            <w:hideMark/>
          </w:tcPr>
          <w:p w14:paraId="2707E9D0" w14:textId="77777777" w:rsidR="00243606" w:rsidRPr="00243606" w:rsidRDefault="00243606" w:rsidP="00243606">
            <w:pPr>
              <w:rPr>
                <w:sz w:val="20"/>
                <w:szCs w:val="20"/>
              </w:rPr>
            </w:pPr>
            <w:r w:rsidRPr="00243606">
              <w:rPr>
                <w:sz w:val="20"/>
                <w:szCs w:val="20"/>
              </w:rPr>
              <w:t>8</w:t>
            </w:r>
          </w:p>
        </w:tc>
        <w:tc>
          <w:tcPr>
            <w:tcW w:w="960" w:type="dxa"/>
            <w:noWrap/>
            <w:hideMark/>
          </w:tcPr>
          <w:p w14:paraId="75A1890E" w14:textId="77777777" w:rsidR="00243606" w:rsidRPr="00243606" w:rsidRDefault="00243606" w:rsidP="00243606">
            <w:pPr>
              <w:rPr>
                <w:sz w:val="20"/>
                <w:szCs w:val="20"/>
              </w:rPr>
            </w:pPr>
            <w:r w:rsidRPr="00243606">
              <w:rPr>
                <w:sz w:val="20"/>
                <w:szCs w:val="20"/>
              </w:rPr>
              <w:t>18.2</w:t>
            </w:r>
          </w:p>
        </w:tc>
        <w:tc>
          <w:tcPr>
            <w:tcW w:w="1065" w:type="dxa"/>
            <w:noWrap/>
            <w:hideMark/>
          </w:tcPr>
          <w:p w14:paraId="5113DCA4" w14:textId="77777777" w:rsidR="00243606" w:rsidRPr="00243606" w:rsidRDefault="00243606" w:rsidP="00243606">
            <w:pPr>
              <w:rPr>
                <w:sz w:val="20"/>
                <w:szCs w:val="20"/>
              </w:rPr>
            </w:pPr>
            <w:r w:rsidRPr="00243606">
              <w:rPr>
                <w:sz w:val="20"/>
                <w:szCs w:val="20"/>
              </w:rPr>
              <w:t>40</w:t>
            </w:r>
          </w:p>
        </w:tc>
        <w:tc>
          <w:tcPr>
            <w:tcW w:w="960" w:type="dxa"/>
            <w:noWrap/>
            <w:hideMark/>
          </w:tcPr>
          <w:p w14:paraId="0204517B" w14:textId="77777777" w:rsidR="00243606" w:rsidRPr="00243606" w:rsidRDefault="00243606" w:rsidP="00243606">
            <w:pPr>
              <w:rPr>
                <w:sz w:val="20"/>
                <w:szCs w:val="20"/>
              </w:rPr>
            </w:pPr>
            <w:r w:rsidRPr="00243606">
              <w:rPr>
                <w:sz w:val="20"/>
                <w:szCs w:val="20"/>
              </w:rPr>
              <w:t>22.1</w:t>
            </w:r>
          </w:p>
        </w:tc>
      </w:tr>
      <w:tr w:rsidR="00243606" w:rsidRPr="00243606" w14:paraId="25975E6D" w14:textId="77777777" w:rsidTr="00027C16">
        <w:trPr>
          <w:trHeight w:val="300"/>
        </w:trPr>
        <w:tc>
          <w:tcPr>
            <w:tcW w:w="1739" w:type="dxa"/>
            <w:noWrap/>
            <w:hideMark/>
          </w:tcPr>
          <w:p w14:paraId="1FB67434" w14:textId="7A219695" w:rsidR="00243606" w:rsidRPr="00243606" w:rsidRDefault="00243606">
            <w:pPr>
              <w:rPr>
                <w:sz w:val="20"/>
                <w:szCs w:val="20"/>
              </w:rPr>
            </w:pPr>
            <w:r w:rsidRPr="00243606">
              <w:rPr>
                <w:sz w:val="20"/>
                <w:szCs w:val="20"/>
              </w:rPr>
              <w:t>M</w:t>
            </w:r>
            <w:r w:rsidRPr="00243606">
              <w:rPr>
                <w:sz w:val="20"/>
                <w:szCs w:val="20"/>
              </w:rPr>
              <w:t>edical</w:t>
            </w:r>
            <w:r>
              <w:rPr>
                <w:sz w:val="20"/>
                <w:szCs w:val="20"/>
              </w:rPr>
              <w:t xml:space="preserve"> </w:t>
            </w:r>
            <w:r w:rsidRPr="00243606">
              <w:rPr>
                <w:sz w:val="20"/>
                <w:szCs w:val="20"/>
              </w:rPr>
              <w:t>general</w:t>
            </w:r>
          </w:p>
        </w:tc>
        <w:tc>
          <w:tcPr>
            <w:tcW w:w="960" w:type="dxa"/>
            <w:noWrap/>
            <w:hideMark/>
          </w:tcPr>
          <w:p w14:paraId="3594A73D" w14:textId="77777777" w:rsidR="00243606" w:rsidRPr="00243606" w:rsidRDefault="00243606" w:rsidP="00243606">
            <w:pPr>
              <w:rPr>
                <w:sz w:val="20"/>
                <w:szCs w:val="20"/>
              </w:rPr>
            </w:pPr>
            <w:r w:rsidRPr="00243606">
              <w:rPr>
                <w:sz w:val="20"/>
                <w:szCs w:val="20"/>
              </w:rPr>
              <w:t>8</w:t>
            </w:r>
          </w:p>
        </w:tc>
        <w:tc>
          <w:tcPr>
            <w:tcW w:w="960" w:type="dxa"/>
            <w:noWrap/>
            <w:hideMark/>
          </w:tcPr>
          <w:p w14:paraId="22E0996B" w14:textId="77777777" w:rsidR="00243606" w:rsidRPr="00243606" w:rsidRDefault="00243606" w:rsidP="00243606">
            <w:pPr>
              <w:rPr>
                <w:sz w:val="20"/>
                <w:szCs w:val="20"/>
              </w:rPr>
            </w:pPr>
            <w:r w:rsidRPr="00243606">
              <w:rPr>
                <w:sz w:val="20"/>
                <w:szCs w:val="20"/>
              </w:rPr>
              <w:t>9.3</w:t>
            </w:r>
          </w:p>
        </w:tc>
        <w:tc>
          <w:tcPr>
            <w:tcW w:w="1065" w:type="dxa"/>
            <w:noWrap/>
            <w:hideMark/>
          </w:tcPr>
          <w:p w14:paraId="1D6A5193" w14:textId="77777777" w:rsidR="00243606" w:rsidRPr="00243606" w:rsidRDefault="00243606" w:rsidP="00243606">
            <w:pPr>
              <w:rPr>
                <w:sz w:val="20"/>
                <w:szCs w:val="20"/>
              </w:rPr>
            </w:pPr>
            <w:r w:rsidRPr="00243606">
              <w:rPr>
                <w:sz w:val="20"/>
                <w:szCs w:val="20"/>
              </w:rPr>
              <w:t>27</w:t>
            </w:r>
          </w:p>
        </w:tc>
        <w:tc>
          <w:tcPr>
            <w:tcW w:w="960" w:type="dxa"/>
            <w:noWrap/>
            <w:hideMark/>
          </w:tcPr>
          <w:p w14:paraId="12C8349E" w14:textId="77777777" w:rsidR="00243606" w:rsidRPr="00243606" w:rsidRDefault="00243606" w:rsidP="00243606">
            <w:pPr>
              <w:rPr>
                <w:sz w:val="20"/>
                <w:szCs w:val="20"/>
              </w:rPr>
            </w:pPr>
            <w:r w:rsidRPr="00243606">
              <w:rPr>
                <w:sz w:val="20"/>
                <w:szCs w:val="20"/>
              </w:rPr>
              <w:t>14.4</w:t>
            </w:r>
          </w:p>
        </w:tc>
      </w:tr>
      <w:tr w:rsidR="00243606" w:rsidRPr="00243606" w14:paraId="697B4A8F" w14:textId="77777777" w:rsidTr="00027C16">
        <w:trPr>
          <w:trHeight w:val="300"/>
        </w:trPr>
        <w:tc>
          <w:tcPr>
            <w:tcW w:w="1739" w:type="dxa"/>
            <w:noWrap/>
            <w:hideMark/>
          </w:tcPr>
          <w:p w14:paraId="2E5E0D77" w14:textId="53995052" w:rsidR="00243606" w:rsidRPr="00243606" w:rsidRDefault="00243606">
            <w:pPr>
              <w:rPr>
                <w:sz w:val="20"/>
                <w:szCs w:val="20"/>
              </w:rPr>
            </w:pPr>
            <w:r w:rsidRPr="00243606">
              <w:rPr>
                <w:sz w:val="20"/>
                <w:szCs w:val="20"/>
              </w:rPr>
              <w:t>M</w:t>
            </w:r>
            <w:r w:rsidRPr="00243606">
              <w:rPr>
                <w:sz w:val="20"/>
                <w:szCs w:val="20"/>
              </w:rPr>
              <w:t>edical</w:t>
            </w:r>
            <w:r>
              <w:rPr>
                <w:sz w:val="20"/>
                <w:szCs w:val="20"/>
              </w:rPr>
              <w:t xml:space="preserve"> </w:t>
            </w:r>
            <w:r w:rsidRPr="00243606">
              <w:rPr>
                <w:sz w:val="20"/>
                <w:szCs w:val="20"/>
              </w:rPr>
              <w:t>physical</w:t>
            </w:r>
          </w:p>
        </w:tc>
        <w:tc>
          <w:tcPr>
            <w:tcW w:w="960" w:type="dxa"/>
            <w:noWrap/>
            <w:hideMark/>
          </w:tcPr>
          <w:p w14:paraId="6937691E" w14:textId="77777777" w:rsidR="00243606" w:rsidRPr="00243606" w:rsidRDefault="00243606" w:rsidP="00243606">
            <w:pPr>
              <w:rPr>
                <w:sz w:val="20"/>
                <w:szCs w:val="20"/>
              </w:rPr>
            </w:pPr>
            <w:r w:rsidRPr="00243606">
              <w:rPr>
                <w:sz w:val="20"/>
                <w:szCs w:val="20"/>
              </w:rPr>
              <w:t>8</w:t>
            </w:r>
          </w:p>
        </w:tc>
        <w:tc>
          <w:tcPr>
            <w:tcW w:w="960" w:type="dxa"/>
            <w:noWrap/>
            <w:hideMark/>
          </w:tcPr>
          <w:p w14:paraId="0DC88A67" w14:textId="77777777" w:rsidR="00243606" w:rsidRPr="00243606" w:rsidRDefault="00243606" w:rsidP="00243606">
            <w:pPr>
              <w:rPr>
                <w:sz w:val="20"/>
                <w:szCs w:val="20"/>
              </w:rPr>
            </w:pPr>
            <w:r w:rsidRPr="00243606">
              <w:rPr>
                <w:sz w:val="20"/>
                <w:szCs w:val="20"/>
              </w:rPr>
              <w:t>13.4</w:t>
            </w:r>
          </w:p>
        </w:tc>
        <w:tc>
          <w:tcPr>
            <w:tcW w:w="1065" w:type="dxa"/>
            <w:noWrap/>
            <w:hideMark/>
          </w:tcPr>
          <w:p w14:paraId="61725779" w14:textId="77777777" w:rsidR="00243606" w:rsidRPr="00243606" w:rsidRDefault="00243606" w:rsidP="00243606">
            <w:pPr>
              <w:rPr>
                <w:sz w:val="20"/>
                <w:szCs w:val="20"/>
              </w:rPr>
            </w:pPr>
            <w:r w:rsidRPr="00243606">
              <w:rPr>
                <w:sz w:val="20"/>
                <w:szCs w:val="20"/>
              </w:rPr>
              <w:t>189</w:t>
            </w:r>
          </w:p>
        </w:tc>
        <w:tc>
          <w:tcPr>
            <w:tcW w:w="960" w:type="dxa"/>
            <w:noWrap/>
            <w:hideMark/>
          </w:tcPr>
          <w:p w14:paraId="7A92B6CA" w14:textId="77777777" w:rsidR="00243606" w:rsidRPr="00243606" w:rsidRDefault="00243606" w:rsidP="00243606">
            <w:pPr>
              <w:rPr>
                <w:sz w:val="20"/>
                <w:szCs w:val="20"/>
              </w:rPr>
            </w:pPr>
            <w:r w:rsidRPr="00243606">
              <w:rPr>
                <w:sz w:val="20"/>
                <w:szCs w:val="20"/>
              </w:rPr>
              <w:t>21</w:t>
            </w:r>
          </w:p>
        </w:tc>
      </w:tr>
      <w:tr w:rsidR="00243606" w:rsidRPr="00243606" w14:paraId="726BC68C" w14:textId="77777777" w:rsidTr="00027C16">
        <w:trPr>
          <w:trHeight w:val="300"/>
        </w:trPr>
        <w:tc>
          <w:tcPr>
            <w:tcW w:w="1739" w:type="dxa"/>
            <w:noWrap/>
            <w:hideMark/>
          </w:tcPr>
          <w:p w14:paraId="1B4A340A" w14:textId="4D3C376E" w:rsidR="00243606" w:rsidRPr="00243606" w:rsidRDefault="00027C16">
            <w:pPr>
              <w:rPr>
                <w:sz w:val="20"/>
                <w:szCs w:val="20"/>
              </w:rPr>
            </w:pPr>
            <w:r>
              <w:rPr>
                <w:sz w:val="20"/>
                <w:szCs w:val="20"/>
              </w:rPr>
              <w:t>Unjustified</w:t>
            </w:r>
          </w:p>
        </w:tc>
        <w:tc>
          <w:tcPr>
            <w:tcW w:w="960" w:type="dxa"/>
            <w:noWrap/>
            <w:hideMark/>
          </w:tcPr>
          <w:p w14:paraId="08BB23B3" w14:textId="77777777" w:rsidR="00243606" w:rsidRPr="00243606" w:rsidRDefault="00243606" w:rsidP="00243606">
            <w:pPr>
              <w:rPr>
                <w:sz w:val="20"/>
                <w:szCs w:val="20"/>
              </w:rPr>
            </w:pPr>
            <w:r w:rsidRPr="00243606">
              <w:rPr>
                <w:sz w:val="20"/>
                <w:szCs w:val="20"/>
              </w:rPr>
              <w:t>8</w:t>
            </w:r>
          </w:p>
        </w:tc>
        <w:tc>
          <w:tcPr>
            <w:tcW w:w="960" w:type="dxa"/>
            <w:noWrap/>
            <w:hideMark/>
          </w:tcPr>
          <w:p w14:paraId="0E55491F" w14:textId="77777777" w:rsidR="00243606" w:rsidRPr="00243606" w:rsidRDefault="00243606" w:rsidP="00243606">
            <w:pPr>
              <w:rPr>
                <w:sz w:val="20"/>
                <w:szCs w:val="20"/>
              </w:rPr>
            </w:pPr>
            <w:r w:rsidRPr="00243606">
              <w:rPr>
                <w:sz w:val="20"/>
                <w:szCs w:val="20"/>
              </w:rPr>
              <w:t>7.5</w:t>
            </w:r>
          </w:p>
        </w:tc>
        <w:tc>
          <w:tcPr>
            <w:tcW w:w="1065" w:type="dxa"/>
            <w:noWrap/>
            <w:hideMark/>
          </w:tcPr>
          <w:p w14:paraId="78E2DB7D" w14:textId="77777777" w:rsidR="00243606" w:rsidRPr="00243606" w:rsidRDefault="00243606" w:rsidP="00243606">
            <w:pPr>
              <w:rPr>
                <w:sz w:val="20"/>
                <w:szCs w:val="20"/>
              </w:rPr>
            </w:pPr>
            <w:r w:rsidRPr="00243606">
              <w:rPr>
                <w:sz w:val="20"/>
                <w:szCs w:val="20"/>
              </w:rPr>
              <w:t>71</w:t>
            </w:r>
          </w:p>
        </w:tc>
        <w:tc>
          <w:tcPr>
            <w:tcW w:w="960" w:type="dxa"/>
            <w:noWrap/>
            <w:hideMark/>
          </w:tcPr>
          <w:p w14:paraId="320B3137" w14:textId="77777777" w:rsidR="00243606" w:rsidRPr="00243606" w:rsidRDefault="00243606" w:rsidP="00243606">
            <w:pPr>
              <w:rPr>
                <w:sz w:val="20"/>
                <w:szCs w:val="20"/>
              </w:rPr>
            </w:pPr>
            <w:r w:rsidRPr="00243606">
              <w:rPr>
                <w:sz w:val="20"/>
                <w:szCs w:val="20"/>
              </w:rPr>
              <w:t>2.2</w:t>
            </w:r>
          </w:p>
        </w:tc>
      </w:tr>
      <w:tr w:rsidR="00243606" w:rsidRPr="00243606" w14:paraId="2F766183" w14:textId="77777777" w:rsidTr="00027C16">
        <w:trPr>
          <w:trHeight w:val="300"/>
        </w:trPr>
        <w:tc>
          <w:tcPr>
            <w:tcW w:w="1739" w:type="dxa"/>
            <w:noWrap/>
            <w:hideMark/>
          </w:tcPr>
          <w:p w14:paraId="20092415" w14:textId="017FC878" w:rsidR="00243606" w:rsidRPr="00243606" w:rsidRDefault="00243606">
            <w:pPr>
              <w:rPr>
                <w:sz w:val="20"/>
                <w:szCs w:val="20"/>
              </w:rPr>
            </w:pPr>
            <w:r w:rsidRPr="00243606">
              <w:rPr>
                <w:sz w:val="20"/>
                <w:szCs w:val="20"/>
              </w:rPr>
              <w:t>P</w:t>
            </w:r>
            <w:r w:rsidRPr="00243606">
              <w:rPr>
                <w:sz w:val="20"/>
                <w:szCs w:val="20"/>
              </w:rPr>
              <w:t>regnancy</w:t>
            </w:r>
            <w:r>
              <w:rPr>
                <w:sz w:val="20"/>
                <w:szCs w:val="20"/>
              </w:rPr>
              <w:t xml:space="preserve"> </w:t>
            </w:r>
            <w:r w:rsidRPr="00243606">
              <w:rPr>
                <w:sz w:val="20"/>
                <w:szCs w:val="20"/>
              </w:rPr>
              <w:t>related</w:t>
            </w:r>
          </w:p>
        </w:tc>
        <w:tc>
          <w:tcPr>
            <w:tcW w:w="960" w:type="dxa"/>
            <w:noWrap/>
            <w:hideMark/>
          </w:tcPr>
          <w:p w14:paraId="19B9F187" w14:textId="77777777" w:rsidR="00243606" w:rsidRPr="00243606" w:rsidRDefault="00243606" w:rsidP="00243606">
            <w:pPr>
              <w:rPr>
                <w:sz w:val="20"/>
                <w:szCs w:val="20"/>
              </w:rPr>
            </w:pPr>
            <w:r w:rsidRPr="00243606">
              <w:rPr>
                <w:sz w:val="20"/>
                <w:szCs w:val="20"/>
              </w:rPr>
              <w:t>5.5</w:t>
            </w:r>
          </w:p>
        </w:tc>
        <w:tc>
          <w:tcPr>
            <w:tcW w:w="960" w:type="dxa"/>
            <w:noWrap/>
            <w:hideMark/>
          </w:tcPr>
          <w:p w14:paraId="0D738EDB" w14:textId="77777777" w:rsidR="00243606" w:rsidRPr="00243606" w:rsidRDefault="00243606" w:rsidP="00243606">
            <w:pPr>
              <w:rPr>
                <w:sz w:val="20"/>
                <w:szCs w:val="20"/>
              </w:rPr>
            </w:pPr>
            <w:r w:rsidRPr="00243606">
              <w:rPr>
                <w:sz w:val="20"/>
                <w:szCs w:val="20"/>
              </w:rPr>
              <w:t>5</w:t>
            </w:r>
          </w:p>
        </w:tc>
        <w:tc>
          <w:tcPr>
            <w:tcW w:w="1065" w:type="dxa"/>
            <w:noWrap/>
            <w:hideMark/>
          </w:tcPr>
          <w:p w14:paraId="253C0DA0" w14:textId="77777777" w:rsidR="00243606" w:rsidRPr="00243606" w:rsidRDefault="00243606" w:rsidP="00243606">
            <w:pPr>
              <w:rPr>
                <w:sz w:val="20"/>
                <w:szCs w:val="20"/>
              </w:rPr>
            </w:pPr>
            <w:r w:rsidRPr="00243606">
              <w:rPr>
                <w:sz w:val="20"/>
                <w:szCs w:val="20"/>
              </w:rPr>
              <w:t>6</w:t>
            </w:r>
          </w:p>
        </w:tc>
        <w:tc>
          <w:tcPr>
            <w:tcW w:w="960" w:type="dxa"/>
            <w:noWrap/>
            <w:hideMark/>
          </w:tcPr>
          <w:p w14:paraId="0BE37118" w14:textId="77777777" w:rsidR="00243606" w:rsidRPr="00243606" w:rsidRDefault="00243606" w:rsidP="00243606">
            <w:pPr>
              <w:rPr>
                <w:sz w:val="20"/>
                <w:szCs w:val="20"/>
              </w:rPr>
            </w:pPr>
            <w:r w:rsidRPr="00243606">
              <w:rPr>
                <w:sz w:val="20"/>
                <w:szCs w:val="20"/>
              </w:rPr>
              <w:t>3.3</w:t>
            </w:r>
          </w:p>
        </w:tc>
      </w:tr>
      <w:tr w:rsidR="00243606" w:rsidRPr="00243606" w14:paraId="6AF7E6F8" w14:textId="77777777" w:rsidTr="00027C16">
        <w:trPr>
          <w:trHeight w:val="300"/>
        </w:trPr>
        <w:tc>
          <w:tcPr>
            <w:tcW w:w="1739" w:type="dxa"/>
            <w:noWrap/>
            <w:hideMark/>
          </w:tcPr>
          <w:p w14:paraId="507068FF" w14:textId="0CD4D786" w:rsidR="00243606" w:rsidRPr="00243606" w:rsidRDefault="00243606">
            <w:pPr>
              <w:rPr>
                <w:sz w:val="20"/>
                <w:szCs w:val="20"/>
              </w:rPr>
            </w:pPr>
            <w:r>
              <w:rPr>
                <w:sz w:val="20"/>
                <w:szCs w:val="20"/>
              </w:rPr>
              <w:t>R</w:t>
            </w:r>
            <w:r w:rsidRPr="00243606">
              <w:rPr>
                <w:sz w:val="20"/>
                <w:szCs w:val="20"/>
              </w:rPr>
              <w:t>outine</w:t>
            </w:r>
            <w:r>
              <w:rPr>
                <w:sz w:val="20"/>
                <w:szCs w:val="20"/>
              </w:rPr>
              <w:t xml:space="preserve"> checkups</w:t>
            </w:r>
          </w:p>
        </w:tc>
        <w:tc>
          <w:tcPr>
            <w:tcW w:w="960" w:type="dxa"/>
            <w:noWrap/>
            <w:hideMark/>
          </w:tcPr>
          <w:p w14:paraId="0378D016" w14:textId="77777777" w:rsidR="00243606" w:rsidRPr="00243606" w:rsidRDefault="00243606" w:rsidP="00243606">
            <w:pPr>
              <w:rPr>
                <w:sz w:val="20"/>
                <w:szCs w:val="20"/>
              </w:rPr>
            </w:pPr>
            <w:r w:rsidRPr="00243606">
              <w:rPr>
                <w:sz w:val="20"/>
                <w:szCs w:val="20"/>
              </w:rPr>
              <w:t>2</w:t>
            </w:r>
          </w:p>
        </w:tc>
        <w:tc>
          <w:tcPr>
            <w:tcW w:w="960" w:type="dxa"/>
            <w:noWrap/>
            <w:hideMark/>
          </w:tcPr>
          <w:p w14:paraId="4CD3A07A" w14:textId="77777777" w:rsidR="00243606" w:rsidRPr="00243606" w:rsidRDefault="00243606" w:rsidP="00243606">
            <w:pPr>
              <w:rPr>
                <w:sz w:val="20"/>
                <w:szCs w:val="20"/>
              </w:rPr>
            </w:pPr>
            <w:r w:rsidRPr="00243606">
              <w:rPr>
                <w:sz w:val="20"/>
                <w:szCs w:val="20"/>
              </w:rPr>
              <w:t>2.9</w:t>
            </w:r>
          </w:p>
        </w:tc>
        <w:tc>
          <w:tcPr>
            <w:tcW w:w="1065" w:type="dxa"/>
            <w:noWrap/>
            <w:hideMark/>
          </w:tcPr>
          <w:p w14:paraId="6DC042E8" w14:textId="77777777" w:rsidR="00243606" w:rsidRPr="00243606" w:rsidRDefault="00243606" w:rsidP="00243606">
            <w:pPr>
              <w:rPr>
                <w:sz w:val="20"/>
                <w:szCs w:val="20"/>
              </w:rPr>
            </w:pPr>
            <w:r w:rsidRPr="00243606">
              <w:rPr>
                <w:sz w:val="20"/>
                <w:szCs w:val="20"/>
              </w:rPr>
              <w:t>364</w:t>
            </w:r>
          </w:p>
        </w:tc>
        <w:tc>
          <w:tcPr>
            <w:tcW w:w="960" w:type="dxa"/>
            <w:noWrap/>
            <w:hideMark/>
          </w:tcPr>
          <w:p w14:paraId="03D3AF47" w14:textId="77777777" w:rsidR="00243606" w:rsidRPr="00243606" w:rsidRDefault="00243606" w:rsidP="00243606">
            <w:pPr>
              <w:rPr>
                <w:sz w:val="20"/>
                <w:szCs w:val="20"/>
              </w:rPr>
            </w:pPr>
            <w:r w:rsidRPr="00243606">
              <w:rPr>
                <w:sz w:val="20"/>
                <w:szCs w:val="20"/>
              </w:rPr>
              <w:t>2.4</w:t>
            </w:r>
          </w:p>
        </w:tc>
      </w:tr>
      <w:tr w:rsidR="00243606" w:rsidRPr="00243606" w14:paraId="7B2C7D42" w14:textId="77777777" w:rsidTr="00027C16">
        <w:trPr>
          <w:trHeight w:val="300"/>
        </w:trPr>
        <w:tc>
          <w:tcPr>
            <w:tcW w:w="1739" w:type="dxa"/>
            <w:noWrap/>
            <w:hideMark/>
          </w:tcPr>
          <w:p w14:paraId="08D13B04" w14:textId="5BDFBCC0" w:rsidR="00243606" w:rsidRPr="00243606" w:rsidRDefault="00027C16">
            <w:pPr>
              <w:rPr>
                <w:sz w:val="20"/>
                <w:szCs w:val="20"/>
              </w:rPr>
            </w:pPr>
            <w:r>
              <w:rPr>
                <w:sz w:val="20"/>
                <w:szCs w:val="20"/>
              </w:rPr>
              <w:t>Disciplinary action</w:t>
            </w:r>
          </w:p>
        </w:tc>
        <w:tc>
          <w:tcPr>
            <w:tcW w:w="960" w:type="dxa"/>
            <w:noWrap/>
            <w:hideMark/>
          </w:tcPr>
          <w:p w14:paraId="5DD1ADC4" w14:textId="77777777" w:rsidR="00243606" w:rsidRPr="00243606" w:rsidRDefault="00243606" w:rsidP="00243606">
            <w:pPr>
              <w:rPr>
                <w:sz w:val="20"/>
                <w:szCs w:val="20"/>
              </w:rPr>
            </w:pPr>
            <w:r w:rsidRPr="00243606">
              <w:rPr>
                <w:sz w:val="20"/>
                <w:szCs w:val="20"/>
              </w:rPr>
              <w:t>0</w:t>
            </w:r>
          </w:p>
        </w:tc>
        <w:tc>
          <w:tcPr>
            <w:tcW w:w="960" w:type="dxa"/>
            <w:noWrap/>
            <w:hideMark/>
          </w:tcPr>
          <w:p w14:paraId="50042393" w14:textId="77777777" w:rsidR="00243606" w:rsidRPr="00243606" w:rsidRDefault="00243606" w:rsidP="00243606">
            <w:pPr>
              <w:rPr>
                <w:sz w:val="20"/>
                <w:szCs w:val="20"/>
              </w:rPr>
            </w:pPr>
            <w:r w:rsidRPr="00243606">
              <w:rPr>
                <w:sz w:val="20"/>
                <w:szCs w:val="20"/>
              </w:rPr>
              <w:t>0</w:t>
            </w:r>
          </w:p>
        </w:tc>
        <w:tc>
          <w:tcPr>
            <w:tcW w:w="1065" w:type="dxa"/>
            <w:noWrap/>
            <w:hideMark/>
          </w:tcPr>
          <w:p w14:paraId="49D5A368" w14:textId="77777777" w:rsidR="00243606" w:rsidRPr="00243606" w:rsidRDefault="00243606" w:rsidP="00243606">
            <w:pPr>
              <w:rPr>
                <w:sz w:val="20"/>
                <w:szCs w:val="20"/>
              </w:rPr>
            </w:pPr>
            <w:r w:rsidRPr="00243606">
              <w:rPr>
                <w:sz w:val="20"/>
                <w:szCs w:val="20"/>
              </w:rPr>
              <w:t>40</w:t>
            </w:r>
          </w:p>
        </w:tc>
        <w:tc>
          <w:tcPr>
            <w:tcW w:w="960" w:type="dxa"/>
            <w:noWrap/>
            <w:hideMark/>
          </w:tcPr>
          <w:p w14:paraId="23EAA0EE" w14:textId="77777777" w:rsidR="00243606" w:rsidRPr="00243606" w:rsidRDefault="00243606" w:rsidP="00243606">
            <w:pPr>
              <w:rPr>
                <w:sz w:val="20"/>
                <w:szCs w:val="20"/>
              </w:rPr>
            </w:pPr>
            <w:r w:rsidRPr="00243606">
              <w:rPr>
                <w:sz w:val="20"/>
                <w:szCs w:val="20"/>
              </w:rPr>
              <w:t>0</w:t>
            </w:r>
          </w:p>
        </w:tc>
      </w:tr>
    </w:tbl>
    <w:p w14:paraId="5DF156E2" w14:textId="77777777" w:rsidR="00027C16" w:rsidRDefault="00027C16" w:rsidP="00243606">
      <w:pPr>
        <w:rPr>
          <w:sz w:val="20"/>
          <w:szCs w:val="20"/>
        </w:rPr>
      </w:pPr>
    </w:p>
    <w:p w14:paraId="23D16508" w14:textId="5EFE5435" w:rsidR="00027C16" w:rsidRDefault="00027C16" w:rsidP="00243606">
      <w:pPr>
        <w:rPr>
          <w:sz w:val="20"/>
          <w:szCs w:val="20"/>
        </w:rPr>
      </w:pPr>
      <w:r w:rsidRPr="00027C16">
        <w:rPr>
          <w:sz w:val="20"/>
          <w:szCs w:val="20"/>
        </w:rPr>
        <w:drawing>
          <wp:inline distT="0" distB="0" distL="0" distR="0" wp14:anchorId="56DBB1CC" wp14:editId="62A66135">
            <wp:extent cx="5267325" cy="2946826"/>
            <wp:effectExtent l="0" t="0" r="0" b="6350"/>
            <wp:docPr id="17397225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9722504" name=""/>
                    <pic:cNvPicPr/>
                  </pic:nvPicPr>
                  <pic:blipFill rotWithShape="1">
                    <a:blip r:embed="rId5"/>
                    <a:srcRect l="6526" t="5378" r="2979" b="3798"/>
                    <a:stretch/>
                  </pic:blipFill>
                  <pic:spPr bwMode="auto">
                    <a:xfrm>
                      <a:off x="0" y="0"/>
                      <a:ext cx="5280093" cy="2953969"/>
                    </a:xfrm>
                    <a:prstGeom prst="rect">
                      <a:avLst/>
                    </a:prstGeom>
                    <a:ln>
                      <a:noFill/>
                    </a:ln>
                    <a:extLst>
                      <a:ext uri="{53640926-AAD7-44D8-BBD7-CCE9431645EC}">
                        <a14:shadowObscured xmlns:a14="http://schemas.microsoft.com/office/drawing/2010/main"/>
                      </a:ext>
                    </a:extLst>
                  </pic:spPr>
                </pic:pic>
              </a:graphicData>
            </a:graphic>
          </wp:inline>
        </w:drawing>
      </w:r>
    </w:p>
    <w:p w14:paraId="28B6A3F8" w14:textId="01CE2E31" w:rsidR="00027C16" w:rsidRPr="002E6CA8" w:rsidRDefault="002E6CA8" w:rsidP="00243606">
      <w:pPr>
        <w:rPr>
          <w:i/>
          <w:iCs/>
          <w:sz w:val="20"/>
          <w:szCs w:val="20"/>
        </w:rPr>
      </w:pPr>
      <w:r>
        <w:rPr>
          <w:i/>
          <w:iCs/>
          <w:sz w:val="20"/>
          <w:szCs w:val="20"/>
        </w:rPr>
        <w:t>Figure 1: Box plot of the different groups of absence reasons</w:t>
      </w:r>
    </w:p>
    <w:p w14:paraId="3BD059A8" w14:textId="77777777" w:rsidR="002E6CA8" w:rsidRDefault="002E6CA8" w:rsidP="00243606">
      <w:pPr>
        <w:rPr>
          <w:b/>
          <w:bCs/>
          <w:sz w:val="24"/>
          <w:szCs w:val="24"/>
        </w:rPr>
      </w:pPr>
    </w:p>
    <w:p w14:paraId="3528E2C9" w14:textId="5371477D" w:rsidR="002E6CA8" w:rsidRPr="002E6CA8" w:rsidRDefault="002E6CA8" w:rsidP="00243606">
      <w:pPr>
        <w:rPr>
          <w:b/>
          <w:bCs/>
          <w:sz w:val="24"/>
          <w:szCs w:val="24"/>
        </w:rPr>
      </w:pPr>
      <w:r w:rsidRPr="002E6CA8">
        <w:rPr>
          <w:b/>
          <w:bCs/>
          <w:sz w:val="24"/>
          <w:szCs w:val="24"/>
        </w:rPr>
        <w:t>Modelling various factors</w:t>
      </w:r>
    </w:p>
    <w:p w14:paraId="0592E13F" w14:textId="77777777" w:rsidR="002E6CA8" w:rsidRDefault="002E6CA8" w:rsidP="00243606">
      <w:pPr>
        <w:rPr>
          <w:sz w:val="20"/>
          <w:szCs w:val="20"/>
        </w:rPr>
      </w:pPr>
      <w:r>
        <w:rPr>
          <w:sz w:val="20"/>
          <w:szCs w:val="20"/>
        </w:rPr>
        <w:t>By attempting to predict disciplinary failure (getting fired), it quickly becomes evident that the amount of previous absences is a strong predictor. As seen in figure 2, previous absences is the clear dominant feature for predicting disciplinary failure. Besides that, a high amount of routine checkups and higher travel costs are also correlated to disciplinary failure.</w:t>
      </w:r>
    </w:p>
    <w:p w14:paraId="6BED52F2" w14:textId="77777777" w:rsidR="002E6CA8" w:rsidRDefault="002E6CA8" w:rsidP="00243606">
      <w:pPr>
        <w:rPr>
          <w:sz w:val="20"/>
          <w:szCs w:val="20"/>
        </w:rPr>
      </w:pPr>
    </w:p>
    <w:p w14:paraId="69A70C68" w14:textId="77777777" w:rsidR="002E6CA8" w:rsidRDefault="002E6CA8" w:rsidP="00243606">
      <w:pPr>
        <w:rPr>
          <w:sz w:val="20"/>
          <w:szCs w:val="20"/>
        </w:rPr>
      </w:pPr>
    </w:p>
    <w:p w14:paraId="6C0DE0DE" w14:textId="77777777" w:rsidR="002E6CA8" w:rsidRDefault="002E6CA8" w:rsidP="00243606">
      <w:pPr>
        <w:rPr>
          <w:sz w:val="20"/>
          <w:szCs w:val="20"/>
        </w:rPr>
      </w:pPr>
    </w:p>
    <w:p w14:paraId="4F51E51F" w14:textId="1D511D28" w:rsidR="00027C16" w:rsidRDefault="002E6CA8" w:rsidP="00243606">
      <w:pPr>
        <w:rPr>
          <w:sz w:val="20"/>
          <w:szCs w:val="20"/>
        </w:rPr>
      </w:pPr>
      <w:r w:rsidRPr="002E6CA8">
        <w:rPr>
          <w:i/>
          <w:iCs/>
          <w:sz w:val="20"/>
          <w:szCs w:val="20"/>
        </w:rPr>
        <w:lastRenderedPageBreak/>
        <w:t xml:space="preserve">Figure 2: </w:t>
      </w:r>
      <w:r>
        <w:rPr>
          <w:i/>
          <w:iCs/>
          <w:sz w:val="20"/>
          <w:szCs w:val="20"/>
        </w:rPr>
        <w:t>Disciplinary failure modelled</w:t>
      </w:r>
      <w:r w:rsidRPr="002E6CA8">
        <w:rPr>
          <w:sz w:val="20"/>
          <w:szCs w:val="20"/>
        </w:rPr>
        <w:drawing>
          <wp:inline distT="0" distB="0" distL="0" distR="0" wp14:anchorId="011E3FAE" wp14:editId="036CB7AD">
            <wp:extent cx="5760720" cy="2987040"/>
            <wp:effectExtent l="0" t="0" r="0" b="3810"/>
            <wp:docPr id="18947446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4744627" name=""/>
                    <pic:cNvPicPr/>
                  </pic:nvPicPr>
                  <pic:blipFill>
                    <a:blip r:embed="rId6"/>
                    <a:stretch>
                      <a:fillRect/>
                    </a:stretch>
                  </pic:blipFill>
                  <pic:spPr>
                    <a:xfrm>
                      <a:off x="0" y="0"/>
                      <a:ext cx="5760720" cy="2987040"/>
                    </a:xfrm>
                    <a:prstGeom prst="rect">
                      <a:avLst/>
                    </a:prstGeom>
                  </pic:spPr>
                </pic:pic>
              </a:graphicData>
            </a:graphic>
          </wp:inline>
        </w:drawing>
      </w:r>
    </w:p>
    <w:p w14:paraId="6A3DEB84" w14:textId="77777777" w:rsidR="002E6CA8" w:rsidRDefault="002E6CA8" w:rsidP="00243606">
      <w:pPr>
        <w:rPr>
          <w:sz w:val="20"/>
          <w:szCs w:val="20"/>
        </w:rPr>
      </w:pPr>
    </w:p>
    <w:p w14:paraId="27245C5A" w14:textId="7087E26E" w:rsidR="002E6CA8" w:rsidRDefault="002E6CA8" w:rsidP="00243606">
      <w:pPr>
        <w:rPr>
          <w:sz w:val="20"/>
          <w:szCs w:val="20"/>
        </w:rPr>
      </w:pPr>
      <w:r>
        <w:rPr>
          <w:sz w:val="20"/>
          <w:szCs w:val="20"/>
        </w:rPr>
        <w:t xml:space="preserve">Figure 3 shows that the two groups most strongly correlated with </w:t>
      </w:r>
      <w:r w:rsidR="006822EC">
        <w:rPr>
          <w:sz w:val="20"/>
          <w:szCs w:val="20"/>
        </w:rPr>
        <w:t>longer absences are external injuries and physical medical illnesses. This makes sense, given that these are the most debilitating of the injuries. Absences in season 2 (summer) and the months of July and August are likely to be related to holidays. Lastly, weight and social drinking seem to be related to longer absence, most likely because of their negative correlation with general health. Encouraging healthy dieting and movement practices as well as discouraging (heavy) drinking events related to work could lead to a significant decrease in absenteeism due to medical issues.</w:t>
      </w:r>
    </w:p>
    <w:p w14:paraId="4763B6C0" w14:textId="6DB81F47" w:rsidR="002E6CA8" w:rsidRPr="002E6CA8" w:rsidRDefault="002E6CA8" w:rsidP="00243606">
      <w:pPr>
        <w:rPr>
          <w:i/>
          <w:iCs/>
          <w:sz w:val="20"/>
          <w:szCs w:val="20"/>
        </w:rPr>
      </w:pPr>
      <w:r>
        <w:rPr>
          <w:i/>
          <w:iCs/>
          <w:sz w:val="20"/>
          <w:szCs w:val="20"/>
        </w:rPr>
        <w:t>Figure 3: Long absences modelled</w:t>
      </w:r>
    </w:p>
    <w:p w14:paraId="47D03028" w14:textId="101CEE0B" w:rsidR="002E6CA8" w:rsidRDefault="002E6CA8" w:rsidP="00243606">
      <w:pPr>
        <w:rPr>
          <w:sz w:val="20"/>
          <w:szCs w:val="20"/>
        </w:rPr>
      </w:pPr>
      <w:r w:rsidRPr="002E6CA8">
        <w:rPr>
          <w:sz w:val="20"/>
          <w:szCs w:val="20"/>
        </w:rPr>
        <w:drawing>
          <wp:inline distT="0" distB="0" distL="0" distR="0" wp14:anchorId="40E4DD69" wp14:editId="7F17DA43">
            <wp:extent cx="5760720" cy="3018155"/>
            <wp:effectExtent l="0" t="0" r="0" b="0"/>
            <wp:docPr id="21012734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1273495" name=""/>
                    <pic:cNvPicPr/>
                  </pic:nvPicPr>
                  <pic:blipFill>
                    <a:blip r:embed="rId7"/>
                    <a:stretch>
                      <a:fillRect/>
                    </a:stretch>
                  </pic:blipFill>
                  <pic:spPr>
                    <a:xfrm>
                      <a:off x="0" y="0"/>
                      <a:ext cx="5760720" cy="3018155"/>
                    </a:xfrm>
                    <a:prstGeom prst="rect">
                      <a:avLst/>
                    </a:prstGeom>
                  </pic:spPr>
                </pic:pic>
              </a:graphicData>
            </a:graphic>
          </wp:inline>
        </w:drawing>
      </w:r>
    </w:p>
    <w:p w14:paraId="743C8C33" w14:textId="77777777" w:rsidR="002E6CA8" w:rsidRDefault="002E6CA8" w:rsidP="00243606">
      <w:pPr>
        <w:rPr>
          <w:sz w:val="20"/>
          <w:szCs w:val="20"/>
        </w:rPr>
      </w:pPr>
    </w:p>
    <w:p w14:paraId="4B0AF8BF" w14:textId="77777777" w:rsidR="002E6CA8" w:rsidRPr="002E6CA8" w:rsidRDefault="002E6CA8" w:rsidP="002E6CA8">
      <w:pPr>
        <w:rPr>
          <w:sz w:val="20"/>
          <w:szCs w:val="20"/>
        </w:rPr>
      </w:pPr>
      <w:r>
        <w:rPr>
          <w:sz w:val="20"/>
          <w:szCs w:val="20"/>
        </w:rPr>
        <w:t>It’s important to note that these are all correlational findings, not causational. Further research is needed to make definitive remarks about causality</w:t>
      </w:r>
    </w:p>
    <w:p w14:paraId="308EAE5E" w14:textId="77777777" w:rsidR="002E6CA8" w:rsidRDefault="002E6CA8" w:rsidP="00243606">
      <w:pPr>
        <w:rPr>
          <w:sz w:val="20"/>
          <w:szCs w:val="20"/>
        </w:rPr>
      </w:pPr>
    </w:p>
    <w:p w14:paraId="697F5ECA" w14:textId="77777777" w:rsidR="002E6CA8" w:rsidRPr="00243606" w:rsidRDefault="002E6CA8" w:rsidP="00243606">
      <w:pPr>
        <w:rPr>
          <w:sz w:val="20"/>
          <w:szCs w:val="20"/>
        </w:rPr>
      </w:pPr>
    </w:p>
    <w:p w14:paraId="208E09B1" w14:textId="0B7DD1CF" w:rsidR="00243606" w:rsidRPr="00243606" w:rsidRDefault="00243606" w:rsidP="00243606">
      <w:pPr>
        <w:rPr>
          <w:b/>
          <w:bCs/>
          <w:sz w:val="24"/>
          <w:szCs w:val="24"/>
        </w:rPr>
      </w:pPr>
      <w:r w:rsidRPr="00243606">
        <w:rPr>
          <w:b/>
          <w:bCs/>
          <w:sz w:val="24"/>
          <w:szCs w:val="24"/>
        </w:rPr>
        <w:t>Clustering Employee Absenteeism</w:t>
      </w:r>
    </w:p>
    <w:p w14:paraId="7043905B" w14:textId="1AF234CB" w:rsidR="00243606" w:rsidRPr="00243606" w:rsidRDefault="00027C16" w:rsidP="00243606">
      <w:pPr>
        <w:rPr>
          <w:sz w:val="20"/>
          <w:szCs w:val="20"/>
        </w:rPr>
      </w:pPr>
      <w:r>
        <w:rPr>
          <w:sz w:val="20"/>
          <w:szCs w:val="20"/>
        </w:rPr>
        <w:t xml:space="preserve">The goal of this algorithm </w:t>
      </w:r>
      <w:r w:rsidR="002E6CA8">
        <w:rPr>
          <w:sz w:val="20"/>
          <w:szCs w:val="20"/>
        </w:rPr>
        <w:t>(KMeans clu</w:t>
      </w:r>
      <w:r>
        <w:rPr>
          <w:sz w:val="20"/>
          <w:szCs w:val="20"/>
        </w:rPr>
        <w:t>was to potentially identify subtypes of datapoints. After these subtypes were identified, an attempt at explaining the found differences was made.</w:t>
      </w:r>
    </w:p>
    <w:p w14:paraId="4AEC8079" w14:textId="5CBC763E" w:rsidR="00243606" w:rsidRPr="00243606" w:rsidRDefault="00243606" w:rsidP="00243606">
      <w:pPr>
        <w:rPr>
          <w:sz w:val="20"/>
          <w:szCs w:val="20"/>
        </w:rPr>
      </w:pPr>
      <w:r w:rsidRPr="00243606">
        <w:rPr>
          <w:b/>
          <w:bCs/>
        </w:rPr>
        <w:t xml:space="preserve"> Cluster 0 — "Structured &amp; Seasonal Absentees"</w:t>
      </w:r>
      <w:r w:rsidR="006822EC">
        <w:rPr>
          <w:b/>
          <w:bCs/>
        </w:rPr>
        <w:br/>
      </w:r>
      <w:r w:rsidRPr="00243606">
        <w:rPr>
          <w:sz w:val="20"/>
          <w:szCs w:val="20"/>
        </w:rPr>
        <w:t xml:space="preserve">Employees with </w:t>
      </w:r>
      <w:r w:rsidRPr="00243606">
        <w:rPr>
          <w:b/>
          <w:bCs/>
          <w:sz w:val="20"/>
          <w:szCs w:val="20"/>
        </w:rPr>
        <w:t>predictable, seasonal patterns</w:t>
      </w:r>
      <w:r w:rsidRPr="00243606">
        <w:rPr>
          <w:sz w:val="20"/>
          <w:szCs w:val="20"/>
        </w:rPr>
        <w:t xml:space="preserve"> of absenteeism, typically seen in the colder months. Their absence reasons are slightly more non-medical or family-related.</w:t>
      </w:r>
    </w:p>
    <w:p w14:paraId="558E045B" w14:textId="77777777" w:rsidR="00243606" w:rsidRDefault="00243606" w:rsidP="00243606">
      <w:pPr>
        <w:tabs>
          <w:tab w:val="num" w:pos="720"/>
        </w:tabs>
        <w:spacing w:after="0"/>
        <w:rPr>
          <w:b/>
          <w:bCs/>
          <w:sz w:val="20"/>
          <w:szCs w:val="20"/>
        </w:rPr>
      </w:pPr>
      <w:r w:rsidRPr="00243606">
        <w:rPr>
          <w:b/>
          <w:bCs/>
          <w:sz w:val="20"/>
          <w:szCs w:val="20"/>
        </w:rPr>
        <w:t xml:space="preserve"> Key Characteristics:</w:t>
      </w:r>
    </w:p>
    <w:p w14:paraId="7B74E313" w14:textId="3B696680" w:rsidR="00243606" w:rsidRPr="00243606" w:rsidRDefault="00243606" w:rsidP="00243606">
      <w:pPr>
        <w:pStyle w:val="ListParagraph"/>
        <w:numPr>
          <w:ilvl w:val="0"/>
          <w:numId w:val="1"/>
        </w:numPr>
        <w:spacing w:after="0"/>
        <w:rPr>
          <w:sz w:val="20"/>
          <w:szCs w:val="20"/>
        </w:rPr>
      </w:pPr>
      <w:r w:rsidRPr="00243606">
        <w:rPr>
          <w:sz w:val="20"/>
          <w:szCs w:val="20"/>
        </w:rPr>
        <w:t>Lower previous absences (16.3 vs 28.4)</w:t>
      </w:r>
    </w:p>
    <w:p w14:paraId="4E383DD2" w14:textId="0233E110" w:rsidR="00243606" w:rsidRPr="00243606" w:rsidRDefault="00243606" w:rsidP="00243606">
      <w:pPr>
        <w:numPr>
          <w:ilvl w:val="0"/>
          <w:numId w:val="1"/>
        </w:numPr>
        <w:spacing w:after="0"/>
        <w:rPr>
          <w:sz w:val="20"/>
          <w:szCs w:val="20"/>
        </w:rPr>
      </w:pPr>
      <w:r w:rsidRPr="00243606">
        <w:rPr>
          <w:sz w:val="20"/>
          <w:szCs w:val="20"/>
        </w:rPr>
        <w:t>More absences in Q4 (October–December)</w:t>
      </w:r>
    </w:p>
    <w:p w14:paraId="5EA88D1C" w14:textId="153C59E3" w:rsidR="00243606" w:rsidRPr="00243606" w:rsidRDefault="00243606" w:rsidP="00243606">
      <w:pPr>
        <w:numPr>
          <w:ilvl w:val="0"/>
          <w:numId w:val="1"/>
        </w:numPr>
        <w:spacing w:after="0"/>
        <w:rPr>
          <w:sz w:val="20"/>
          <w:szCs w:val="20"/>
        </w:rPr>
      </w:pPr>
      <w:r w:rsidRPr="00243606">
        <w:rPr>
          <w:sz w:val="20"/>
          <w:szCs w:val="20"/>
        </w:rPr>
        <w:t>High seasonal impact (Winter: 55%)</w:t>
      </w:r>
    </w:p>
    <w:p w14:paraId="033A53A0" w14:textId="69BF7A97" w:rsidR="00243606" w:rsidRPr="00243606" w:rsidRDefault="00243606" w:rsidP="00243606">
      <w:pPr>
        <w:numPr>
          <w:ilvl w:val="0"/>
          <w:numId w:val="1"/>
        </w:numPr>
        <w:spacing w:after="0"/>
        <w:rPr>
          <w:sz w:val="20"/>
          <w:szCs w:val="20"/>
        </w:rPr>
      </w:pPr>
      <w:r w:rsidRPr="00243606">
        <w:rPr>
          <w:rFonts w:ascii="Segoe UI Emoji" w:hAnsi="Segoe UI Emoji" w:cs="Segoe UI Emoji"/>
          <w:sz w:val="20"/>
          <w:szCs w:val="20"/>
        </w:rPr>
        <w:t>S</w:t>
      </w:r>
      <w:r w:rsidRPr="00243606">
        <w:rPr>
          <w:sz w:val="20"/>
          <w:szCs w:val="20"/>
        </w:rPr>
        <w:t>lightly longer commute distance (30.1 km)</w:t>
      </w:r>
    </w:p>
    <w:p w14:paraId="6FA6DC8A" w14:textId="2A160638" w:rsidR="00243606" w:rsidRPr="00243606" w:rsidRDefault="00243606" w:rsidP="00243606">
      <w:pPr>
        <w:numPr>
          <w:ilvl w:val="0"/>
          <w:numId w:val="1"/>
        </w:numPr>
        <w:spacing w:after="0"/>
        <w:rPr>
          <w:sz w:val="20"/>
          <w:szCs w:val="20"/>
        </w:rPr>
      </w:pPr>
      <w:r w:rsidRPr="00243606">
        <w:rPr>
          <w:sz w:val="20"/>
          <w:szCs w:val="20"/>
        </w:rPr>
        <w:t>Slightly higher workload (261.7 vs 280.7)</w:t>
      </w:r>
    </w:p>
    <w:p w14:paraId="6F679BE9" w14:textId="5EFD6CA9" w:rsidR="00243606" w:rsidRPr="00243606" w:rsidRDefault="00243606" w:rsidP="00243606">
      <w:pPr>
        <w:numPr>
          <w:ilvl w:val="0"/>
          <w:numId w:val="1"/>
        </w:numPr>
        <w:spacing w:after="0"/>
        <w:rPr>
          <w:sz w:val="20"/>
          <w:szCs w:val="20"/>
        </w:rPr>
      </w:pPr>
      <w:r w:rsidRPr="00243606">
        <w:rPr>
          <w:sz w:val="20"/>
          <w:szCs w:val="20"/>
        </w:rPr>
        <w:t>Higher social drinking (60%)</w:t>
      </w:r>
    </w:p>
    <w:p w14:paraId="74D51B46" w14:textId="4133293C" w:rsidR="00243606" w:rsidRPr="00243606" w:rsidRDefault="00243606" w:rsidP="00243606">
      <w:pPr>
        <w:numPr>
          <w:ilvl w:val="0"/>
          <w:numId w:val="1"/>
        </w:numPr>
        <w:spacing w:after="0"/>
        <w:rPr>
          <w:sz w:val="20"/>
          <w:szCs w:val="20"/>
        </w:rPr>
      </w:pPr>
      <w:r w:rsidRPr="00243606">
        <w:rPr>
          <w:sz w:val="20"/>
          <w:szCs w:val="20"/>
        </w:rPr>
        <w:t>More likely to have children</w:t>
      </w:r>
      <w:r w:rsidRPr="00243606">
        <w:rPr>
          <w:sz w:val="20"/>
          <w:szCs w:val="20"/>
        </w:rPr>
        <w:t xml:space="preserve"> (and more children when they do)</w:t>
      </w:r>
    </w:p>
    <w:p w14:paraId="330C303C" w14:textId="77777777" w:rsidR="006822EC" w:rsidRDefault="00243606" w:rsidP="00243606">
      <w:pPr>
        <w:rPr>
          <w:sz w:val="20"/>
          <w:szCs w:val="20"/>
        </w:rPr>
      </w:pPr>
      <w:r w:rsidRPr="00243606">
        <w:rPr>
          <w:b/>
          <w:bCs/>
          <w:sz w:val="20"/>
          <w:szCs w:val="20"/>
        </w:rPr>
        <w:t>Interpretation:</w:t>
      </w:r>
      <w:r>
        <w:rPr>
          <w:b/>
          <w:bCs/>
          <w:sz w:val="20"/>
          <w:szCs w:val="20"/>
        </w:rPr>
        <w:br/>
      </w:r>
      <w:r w:rsidRPr="00243606">
        <w:rPr>
          <w:sz w:val="20"/>
          <w:szCs w:val="20"/>
        </w:rPr>
        <w:t>Structured employees whose absences may relate to predictable seasonal factors like flu or family responsibilities. Potential interventions include seasonal wellness initiatives or flexible holiday planning.</w:t>
      </w:r>
    </w:p>
    <w:p w14:paraId="2EAE64A5" w14:textId="6CC09475" w:rsidR="00243606" w:rsidRPr="00243606" w:rsidRDefault="00243606" w:rsidP="00243606">
      <w:pPr>
        <w:rPr>
          <w:sz w:val="20"/>
          <w:szCs w:val="20"/>
        </w:rPr>
      </w:pPr>
      <w:r w:rsidRPr="00243606">
        <w:rPr>
          <w:b/>
          <w:bCs/>
        </w:rPr>
        <w:t>Cluster 1 — "Routine &amp; Frequent Absentees"</w:t>
      </w:r>
      <w:r w:rsidR="006822EC">
        <w:rPr>
          <w:b/>
          <w:bCs/>
        </w:rPr>
        <w:br/>
      </w:r>
      <w:r w:rsidRPr="00243606">
        <w:rPr>
          <w:sz w:val="20"/>
          <w:szCs w:val="20"/>
        </w:rPr>
        <w:t xml:space="preserve">Employees with </w:t>
      </w:r>
      <w:r w:rsidRPr="00243606">
        <w:rPr>
          <w:b/>
          <w:bCs/>
          <w:sz w:val="20"/>
          <w:szCs w:val="20"/>
        </w:rPr>
        <w:t>frequent, short absences</w:t>
      </w:r>
      <w:r w:rsidRPr="00243606">
        <w:rPr>
          <w:sz w:val="20"/>
          <w:szCs w:val="20"/>
        </w:rPr>
        <w:t xml:space="preserve">, often tied to </w:t>
      </w:r>
      <w:r w:rsidRPr="00243606">
        <w:rPr>
          <w:b/>
          <w:bCs/>
          <w:sz w:val="20"/>
          <w:szCs w:val="20"/>
        </w:rPr>
        <w:t>routine medical or physical reasons</w:t>
      </w:r>
      <w:r w:rsidRPr="00243606">
        <w:rPr>
          <w:sz w:val="20"/>
          <w:szCs w:val="20"/>
        </w:rPr>
        <w:t>. They are more prevalent in recent data entries and show patterns early in the calendar year.</w:t>
      </w:r>
    </w:p>
    <w:p w14:paraId="7357D9B1" w14:textId="2FD772F9" w:rsidR="00243606" w:rsidRPr="00243606" w:rsidRDefault="00243606" w:rsidP="006822EC">
      <w:pPr>
        <w:spacing w:after="0"/>
        <w:rPr>
          <w:b/>
          <w:bCs/>
          <w:sz w:val="20"/>
          <w:szCs w:val="20"/>
        </w:rPr>
      </w:pPr>
      <w:r w:rsidRPr="00243606">
        <w:rPr>
          <w:b/>
          <w:bCs/>
          <w:sz w:val="20"/>
          <w:szCs w:val="20"/>
        </w:rPr>
        <w:t>Key Characteristics:</w:t>
      </w:r>
    </w:p>
    <w:p w14:paraId="0C474DA5" w14:textId="21245C9A" w:rsidR="00243606" w:rsidRPr="00243606" w:rsidRDefault="00243606" w:rsidP="006822EC">
      <w:pPr>
        <w:numPr>
          <w:ilvl w:val="0"/>
          <w:numId w:val="2"/>
        </w:numPr>
        <w:spacing w:after="0"/>
        <w:rPr>
          <w:sz w:val="20"/>
          <w:szCs w:val="20"/>
        </w:rPr>
      </w:pPr>
      <w:r w:rsidRPr="00243606">
        <w:rPr>
          <w:sz w:val="20"/>
          <w:szCs w:val="20"/>
        </w:rPr>
        <w:t>Higher previous absences (28.4 vs 16.3)</w:t>
      </w:r>
    </w:p>
    <w:p w14:paraId="267A6D9D" w14:textId="4D00EFA6" w:rsidR="00243606" w:rsidRPr="00243606" w:rsidRDefault="00243606" w:rsidP="006822EC">
      <w:pPr>
        <w:numPr>
          <w:ilvl w:val="0"/>
          <w:numId w:val="2"/>
        </w:numPr>
        <w:spacing w:after="0"/>
        <w:rPr>
          <w:sz w:val="20"/>
          <w:szCs w:val="20"/>
        </w:rPr>
      </w:pPr>
      <w:r w:rsidRPr="00243606">
        <w:rPr>
          <w:sz w:val="20"/>
          <w:szCs w:val="20"/>
        </w:rPr>
        <w:t>More routine and physical health-related absences</w:t>
      </w:r>
    </w:p>
    <w:p w14:paraId="41CBDC21" w14:textId="0A0FE4EB" w:rsidR="00243606" w:rsidRPr="00243606" w:rsidRDefault="00243606" w:rsidP="006822EC">
      <w:pPr>
        <w:numPr>
          <w:ilvl w:val="0"/>
          <w:numId w:val="2"/>
        </w:numPr>
        <w:spacing w:after="0"/>
        <w:rPr>
          <w:sz w:val="20"/>
          <w:szCs w:val="20"/>
        </w:rPr>
      </w:pPr>
      <w:r w:rsidRPr="00243606">
        <w:rPr>
          <w:sz w:val="20"/>
          <w:szCs w:val="20"/>
        </w:rPr>
        <w:t>Higher representation in January–May</w:t>
      </w:r>
    </w:p>
    <w:p w14:paraId="44C8AB64" w14:textId="5467904A" w:rsidR="00243606" w:rsidRPr="00243606" w:rsidRDefault="00243606" w:rsidP="006822EC">
      <w:pPr>
        <w:numPr>
          <w:ilvl w:val="0"/>
          <w:numId w:val="2"/>
        </w:numPr>
        <w:spacing w:after="0"/>
        <w:rPr>
          <w:sz w:val="20"/>
          <w:szCs w:val="20"/>
        </w:rPr>
      </w:pPr>
      <w:r w:rsidRPr="00243606">
        <w:rPr>
          <w:sz w:val="20"/>
          <w:szCs w:val="20"/>
        </w:rPr>
        <w:t>Shorter commute distance (29.1 km)</w:t>
      </w:r>
    </w:p>
    <w:p w14:paraId="6163E727" w14:textId="2D8A8ED1" w:rsidR="00243606" w:rsidRPr="00243606" w:rsidRDefault="00243606" w:rsidP="006822EC">
      <w:pPr>
        <w:numPr>
          <w:ilvl w:val="0"/>
          <w:numId w:val="2"/>
        </w:numPr>
        <w:spacing w:after="0"/>
        <w:rPr>
          <w:sz w:val="20"/>
          <w:szCs w:val="20"/>
        </w:rPr>
      </w:pPr>
      <w:r w:rsidRPr="00243606">
        <w:rPr>
          <w:sz w:val="20"/>
          <w:szCs w:val="20"/>
        </w:rPr>
        <w:t>Slightly more social smoking</w:t>
      </w:r>
    </w:p>
    <w:p w14:paraId="50A7BC7A" w14:textId="055D0338" w:rsidR="00243606" w:rsidRPr="00243606" w:rsidRDefault="00243606" w:rsidP="006822EC">
      <w:pPr>
        <w:numPr>
          <w:ilvl w:val="0"/>
          <w:numId w:val="2"/>
        </w:numPr>
        <w:spacing w:after="0"/>
        <w:rPr>
          <w:sz w:val="20"/>
          <w:szCs w:val="20"/>
        </w:rPr>
      </w:pPr>
      <w:r w:rsidRPr="00243606">
        <w:rPr>
          <w:sz w:val="20"/>
          <w:szCs w:val="20"/>
        </w:rPr>
        <w:t>More likely to come from 2008 data</w:t>
      </w:r>
    </w:p>
    <w:p w14:paraId="495DD930" w14:textId="77A641DA" w:rsidR="006822EC" w:rsidRDefault="00243606" w:rsidP="00243606">
      <w:pPr>
        <w:rPr>
          <w:sz w:val="20"/>
          <w:szCs w:val="20"/>
        </w:rPr>
      </w:pPr>
      <w:r w:rsidRPr="00243606">
        <w:rPr>
          <w:b/>
          <w:bCs/>
          <w:sz w:val="20"/>
          <w:szCs w:val="20"/>
        </w:rPr>
        <w:t>Interpretation:</w:t>
      </w:r>
      <w:r w:rsidR="006822EC">
        <w:rPr>
          <w:b/>
          <w:bCs/>
          <w:sz w:val="20"/>
          <w:szCs w:val="20"/>
        </w:rPr>
        <w:br/>
      </w:r>
      <w:r w:rsidRPr="00243606">
        <w:rPr>
          <w:sz w:val="20"/>
          <w:szCs w:val="20"/>
        </w:rPr>
        <w:t>This group may include employees managing chronic health conditions or those recently onboarded. Targeted interventions might include bundled medical appointments, telehealth options, or onboarding health programs.</w:t>
      </w:r>
    </w:p>
    <w:p w14:paraId="071E6631" w14:textId="66C03B0D" w:rsidR="00243606" w:rsidRDefault="006822EC" w:rsidP="00243606">
      <w:pPr>
        <w:rPr>
          <w:i/>
          <w:iCs/>
          <w:sz w:val="20"/>
          <w:szCs w:val="20"/>
        </w:rPr>
      </w:pPr>
      <w:r w:rsidRPr="006822EC">
        <w:rPr>
          <w:sz w:val="20"/>
          <w:szCs w:val="20"/>
        </w:rPr>
        <w:drawing>
          <wp:anchor distT="0" distB="0" distL="114300" distR="114300" simplePos="0" relativeHeight="251658240" behindDoc="0" locked="0" layoutInCell="1" allowOverlap="1" wp14:anchorId="54A732CB" wp14:editId="7EAC5CE6">
            <wp:simplePos x="0" y="0"/>
            <wp:positionH relativeFrom="column">
              <wp:posOffset>887095</wp:posOffset>
            </wp:positionH>
            <wp:positionV relativeFrom="paragraph">
              <wp:posOffset>219369</wp:posOffset>
            </wp:positionV>
            <wp:extent cx="3848100" cy="2469515"/>
            <wp:effectExtent l="0" t="0" r="0" b="6985"/>
            <wp:wrapNone/>
            <wp:docPr id="9277372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7737272" name=""/>
                    <pic:cNvPicPr/>
                  </pic:nvPicPr>
                  <pic:blipFill>
                    <a:blip r:embed="rId8">
                      <a:extLst>
                        <a:ext uri="{28A0092B-C50C-407E-A947-70E740481C1C}">
                          <a14:useLocalDpi xmlns:a14="http://schemas.microsoft.com/office/drawing/2010/main" val="0"/>
                        </a:ext>
                      </a:extLst>
                    </a:blip>
                    <a:stretch>
                      <a:fillRect/>
                    </a:stretch>
                  </pic:blipFill>
                  <pic:spPr>
                    <a:xfrm>
                      <a:off x="0" y="0"/>
                      <a:ext cx="3848100" cy="2469515"/>
                    </a:xfrm>
                    <a:prstGeom prst="rect">
                      <a:avLst/>
                    </a:prstGeom>
                  </pic:spPr>
                </pic:pic>
              </a:graphicData>
            </a:graphic>
          </wp:anchor>
        </w:drawing>
      </w:r>
      <w:r>
        <w:rPr>
          <w:sz w:val="20"/>
          <w:szCs w:val="20"/>
        </w:rPr>
        <w:tab/>
      </w:r>
      <w:r>
        <w:rPr>
          <w:sz w:val="20"/>
          <w:szCs w:val="20"/>
        </w:rPr>
        <w:tab/>
      </w:r>
      <w:r>
        <w:rPr>
          <w:i/>
          <w:iCs/>
          <w:sz w:val="20"/>
          <w:szCs w:val="20"/>
        </w:rPr>
        <w:t>Figure 4: Clustering split visualized</w:t>
      </w:r>
    </w:p>
    <w:p w14:paraId="5EEDEB42" w14:textId="77777777" w:rsidR="006822EC" w:rsidRDefault="006822EC" w:rsidP="00243606">
      <w:pPr>
        <w:rPr>
          <w:i/>
          <w:iCs/>
          <w:sz w:val="20"/>
          <w:szCs w:val="20"/>
        </w:rPr>
      </w:pPr>
    </w:p>
    <w:p w14:paraId="599ACF23" w14:textId="77777777" w:rsidR="006822EC" w:rsidRDefault="006822EC" w:rsidP="00243606">
      <w:pPr>
        <w:rPr>
          <w:i/>
          <w:iCs/>
          <w:sz w:val="20"/>
          <w:szCs w:val="20"/>
        </w:rPr>
      </w:pPr>
    </w:p>
    <w:p w14:paraId="36C9B694" w14:textId="77777777" w:rsidR="006822EC" w:rsidRDefault="006822EC" w:rsidP="00243606">
      <w:pPr>
        <w:rPr>
          <w:i/>
          <w:iCs/>
          <w:sz w:val="20"/>
          <w:szCs w:val="20"/>
        </w:rPr>
      </w:pPr>
    </w:p>
    <w:p w14:paraId="614CB802" w14:textId="77777777" w:rsidR="006822EC" w:rsidRDefault="006822EC" w:rsidP="00243606">
      <w:pPr>
        <w:rPr>
          <w:i/>
          <w:iCs/>
          <w:sz w:val="20"/>
          <w:szCs w:val="20"/>
        </w:rPr>
      </w:pPr>
    </w:p>
    <w:p w14:paraId="362B751F" w14:textId="77777777" w:rsidR="006822EC" w:rsidRDefault="006822EC" w:rsidP="00243606">
      <w:pPr>
        <w:rPr>
          <w:i/>
          <w:iCs/>
          <w:sz w:val="20"/>
          <w:szCs w:val="20"/>
        </w:rPr>
      </w:pPr>
    </w:p>
    <w:p w14:paraId="701C4A41" w14:textId="77777777" w:rsidR="006822EC" w:rsidRDefault="006822EC" w:rsidP="00243606">
      <w:pPr>
        <w:rPr>
          <w:i/>
          <w:iCs/>
          <w:sz w:val="20"/>
          <w:szCs w:val="20"/>
        </w:rPr>
      </w:pPr>
    </w:p>
    <w:p w14:paraId="70AE2E2C" w14:textId="77777777" w:rsidR="006822EC" w:rsidRDefault="006822EC" w:rsidP="00243606">
      <w:pPr>
        <w:rPr>
          <w:i/>
          <w:iCs/>
          <w:sz w:val="20"/>
          <w:szCs w:val="20"/>
        </w:rPr>
      </w:pPr>
    </w:p>
    <w:p w14:paraId="3907E0D0" w14:textId="77777777" w:rsidR="006822EC" w:rsidRDefault="006822EC" w:rsidP="00243606">
      <w:pPr>
        <w:rPr>
          <w:i/>
          <w:iCs/>
          <w:sz w:val="20"/>
          <w:szCs w:val="20"/>
        </w:rPr>
      </w:pPr>
    </w:p>
    <w:p w14:paraId="6FAF3C1C" w14:textId="33CC0DC3" w:rsidR="003E016A" w:rsidRPr="003E016A" w:rsidRDefault="003E016A" w:rsidP="003E016A">
      <w:pPr>
        <w:rPr>
          <w:b/>
          <w:bCs/>
          <w:sz w:val="20"/>
          <w:szCs w:val="20"/>
        </w:rPr>
      </w:pPr>
      <w:r w:rsidRPr="003E016A">
        <w:rPr>
          <w:b/>
          <w:bCs/>
          <w:sz w:val="20"/>
          <w:szCs w:val="20"/>
        </w:rPr>
        <w:lastRenderedPageBreak/>
        <w:t>Disclaimer: Limitations of the Dataset and Analysis</w:t>
      </w:r>
    </w:p>
    <w:p w14:paraId="30A1FAC7" w14:textId="77777777" w:rsidR="003E016A" w:rsidRPr="003E016A" w:rsidRDefault="003E016A" w:rsidP="003E016A">
      <w:pPr>
        <w:rPr>
          <w:sz w:val="20"/>
          <w:szCs w:val="20"/>
        </w:rPr>
      </w:pPr>
      <w:r w:rsidRPr="003E016A">
        <w:rPr>
          <w:sz w:val="20"/>
          <w:szCs w:val="20"/>
        </w:rPr>
        <w:t>While this analysis provides insights into absenteeism patterns using the UCI Absenteeism at Work dataset, several limitations should be acknowledged:</w:t>
      </w:r>
    </w:p>
    <w:p w14:paraId="511E80D4" w14:textId="3638C72F" w:rsidR="003E016A" w:rsidRPr="003E016A" w:rsidRDefault="003E016A" w:rsidP="003E016A">
      <w:pPr>
        <w:numPr>
          <w:ilvl w:val="0"/>
          <w:numId w:val="4"/>
        </w:numPr>
        <w:rPr>
          <w:sz w:val="20"/>
          <w:szCs w:val="20"/>
        </w:rPr>
      </w:pPr>
      <w:r w:rsidRPr="003E016A">
        <w:rPr>
          <w:b/>
          <w:bCs/>
          <w:sz w:val="20"/>
          <w:szCs w:val="20"/>
        </w:rPr>
        <w:t>Anonymized Data</w:t>
      </w:r>
      <w:r w:rsidRPr="003E016A">
        <w:rPr>
          <w:sz w:val="20"/>
          <w:szCs w:val="20"/>
        </w:rPr>
        <w:br/>
        <w:t>The dataset is partially anonymized and does not include identifiable demographic or occupational variables beyond basic attributes. This limits the contextual richness needed to fully explain absentee behavior (e.g., job type, health history, workplace culture).</w:t>
      </w:r>
    </w:p>
    <w:p w14:paraId="1A412B5F" w14:textId="77777777" w:rsidR="003E016A" w:rsidRPr="003E016A" w:rsidRDefault="003E016A" w:rsidP="003E016A">
      <w:pPr>
        <w:numPr>
          <w:ilvl w:val="0"/>
          <w:numId w:val="4"/>
        </w:numPr>
        <w:rPr>
          <w:sz w:val="20"/>
          <w:szCs w:val="20"/>
        </w:rPr>
      </w:pPr>
      <w:r w:rsidRPr="003E016A">
        <w:rPr>
          <w:b/>
          <w:bCs/>
          <w:sz w:val="20"/>
          <w:szCs w:val="20"/>
        </w:rPr>
        <w:t>Lack of Outcome Labels</w:t>
      </w:r>
      <w:r w:rsidRPr="003E016A">
        <w:rPr>
          <w:sz w:val="20"/>
          <w:szCs w:val="20"/>
        </w:rPr>
        <w:br/>
        <w:t>The dataset does not include clear target variables for supervised learning (e.g., productivity impact, return-to-work outcomes), which constrains the use of predictive models and limits the scope to exploratory or unsupervised techniques.</w:t>
      </w:r>
    </w:p>
    <w:p w14:paraId="512993A2" w14:textId="77777777" w:rsidR="003E016A" w:rsidRPr="003E016A" w:rsidRDefault="003E016A" w:rsidP="003E016A">
      <w:pPr>
        <w:numPr>
          <w:ilvl w:val="0"/>
          <w:numId w:val="4"/>
        </w:numPr>
        <w:rPr>
          <w:sz w:val="20"/>
          <w:szCs w:val="20"/>
        </w:rPr>
      </w:pPr>
      <w:r w:rsidRPr="003E016A">
        <w:rPr>
          <w:b/>
          <w:bCs/>
          <w:sz w:val="20"/>
          <w:szCs w:val="20"/>
        </w:rPr>
        <w:t>Data Quality &amp; Balance</w:t>
      </w:r>
      <w:r w:rsidRPr="003E016A">
        <w:rPr>
          <w:sz w:val="20"/>
          <w:szCs w:val="20"/>
        </w:rPr>
        <w:br/>
        <w:t>Some reason categories (e.g., pregnancy-related, general medical) are underrepresented, and the "unknown" or zero-value reasons introduce noise. This may affect statistical robustness, especially for minor groups.</w:t>
      </w:r>
    </w:p>
    <w:p w14:paraId="43118990" w14:textId="1F58B0DB" w:rsidR="003E016A" w:rsidRPr="003E016A" w:rsidRDefault="003E016A" w:rsidP="003E016A">
      <w:pPr>
        <w:numPr>
          <w:ilvl w:val="0"/>
          <w:numId w:val="4"/>
        </w:numPr>
        <w:rPr>
          <w:sz w:val="20"/>
          <w:szCs w:val="20"/>
        </w:rPr>
      </w:pPr>
      <w:r w:rsidRPr="003E016A">
        <w:rPr>
          <w:b/>
          <w:bCs/>
          <w:sz w:val="20"/>
          <w:szCs w:val="20"/>
        </w:rPr>
        <w:t>Temporal Relevance</w:t>
      </w:r>
      <w:r w:rsidRPr="003E016A">
        <w:rPr>
          <w:sz w:val="20"/>
          <w:szCs w:val="20"/>
        </w:rPr>
        <w:br/>
        <w:t xml:space="preserve">The dataset spans only </w:t>
      </w:r>
      <w:r>
        <w:rPr>
          <w:sz w:val="20"/>
          <w:szCs w:val="20"/>
        </w:rPr>
        <w:t>three</w:t>
      </w:r>
      <w:r w:rsidRPr="003E016A">
        <w:rPr>
          <w:sz w:val="20"/>
          <w:szCs w:val="20"/>
        </w:rPr>
        <w:t xml:space="preserve"> years (2007–2010) and may not reflect post-pandemic absenteeism trends, changes in remote work practices, or modern occupational health policies.</w:t>
      </w:r>
    </w:p>
    <w:p w14:paraId="0CA63B0A" w14:textId="154CE9F6" w:rsidR="006822EC" w:rsidRDefault="003E016A" w:rsidP="00243606">
      <w:pPr>
        <w:numPr>
          <w:ilvl w:val="0"/>
          <w:numId w:val="4"/>
        </w:numPr>
        <w:rPr>
          <w:sz w:val="20"/>
          <w:szCs w:val="20"/>
        </w:rPr>
      </w:pPr>
      <w:r w:rsidRPr="003E016A">
        <w:rPr>
          <w:b/>
          <w:bCs/>
          <w:sz w:val="20"/>
          <w:szCs w:val="20"/>
        </w:rPr>
        <w:t>Simplified Feature Set</w:t>
      </w:r>
      <w:r w:rsidRPr="003E016A">
        <w:rPr>
          <w:sz w:val="20"/>
          <w:szCs w:val="20"/>
        </w:rPr>
        <w:br/>
        <w:t>Important factors like psychosocial stressors, organizational climate, and manager-employee dynamics are not captured, which are known to influence absenteeism.</w:t>
      </w:r>
    </w:p>
    <w:p w14:paraId="38341F7B" w14:textId="5DB79AB6" w:rsidR="003E016A" w:rsidRPr="003E016A" w:rsidRDefault="003E016A" w:rsidP="003E016A">
      <w:pPr>
        <w:numPr>
          <w:ilvl w:val="0"/>
          <w:numId w:val="4"/>
        </w:numPr>
        <w:rPr>
          <w:sz w:val="20"/>
          <w:szCs w:val="20"/>
        </w:rPr>
      </w:pPr>
      <w:r>
        <w:rPr>
          <w:b/>
          <w:bCs/>
          <w:sz w:val="20"/>
          <w:szCs w:val="20"/>
        </w:rPr>
        <w:t>Data size</w:t>
      </w:r>
      <w:r>
        <w:rPr>
          <w:sz w:val="20"/>
          <w:szCs w:val="20"/>
        </w:rPr>
        <w:br/>
        <w:t>The dataset is of limited size (35 employees, 740 datapoints). This naturally limits the efficacy and generalizability of any model trained on this dataset. Furthermore, making subdivisions is practically impossible as it would divide the data in barely analysable chunks.</w:t>
      </w:r>
    </w:p>
    <w:sectPr w:rsidR="003E016A" w:rsidRPr="003E016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DB3D64"/>
    <w:multiLevelType w:val="multilevel"/>
    <w:tmpl w:val="C71E3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FC67534"/>
    <w:multiLevelType w:val="multilevel"/>
    <w:tmpl w:val="4A82D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4822322"/>
    <w:multiLevelType w:val="multilevel"/>
    <w:tmpl w:val="C71E3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0506EFB"/>
    <w:multiLevelType w:val="multilevel"/>
    <w:tmpl w:val="AB72C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72652254">
    <w:abstractNumId w:val="0"/>
  </w:num>
  <w:num w:numId="2" w16cid:durableId="757942324">
    <w:abstractNumId w:val="1"/>
  </w:num>
  <w:num w:numId="3" w16cid:durableId="510027247">
    <w:abstractNumId w:val="3"/>
  </w:num>
  <w:num w:numId="4" w16cid:durableId="41690348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3606"/>
    <w:rsid w:val="00027C16"/>
    <w:rsid w:val="00243606"/>
    <w:rsid w:val="00283DC9"/>
    <w:rsid w:val="002E6CA8"/>
    <w:rsid w:val="003E016A"/>
    <w:rsid w:val="003F18E4"/>
    <w:rsid w:val="0064462D"/>
    <w:rsid w:val="006822EC"/>
    <w:rsid w:val="00811229"/>
    <w:rsid w:val="00A4068C"/>
    <w:rsid w:val="00EC5CCE"/>
    <w:rsid w:val="00FE147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3F3AFE"/>
  <w15:chartTrackingRefBased/>
  <w15:docId w15:val="{566912F3-40D8-4D1B-A24B-57A1A7968D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4360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4360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4360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4360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4360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4360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4360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4360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4360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360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4360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4360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4360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4360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4360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4360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4360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43606"/>
    <w:rPr>
      <w:rFonts w:eastAsiaTheme="majorEastAsia" w:cstheme="majorBidi"/>
      <w:color w:val="272727" w:themeColor="text1" w:themeTint="D8"/>
    </w:rPr>
  </w:style>
  <w:style w:type="paragraph" w:styleId="Title">
    <w:name w:val="Title"/>
    <w:basedOn w:val="Normal"/>
    <w:next w:val="Normal"/>
    <w:link w:val="TitleChar"/>
    <w:uiPriority w:val="10"/>
    <w:qFormat/>
    <w:rsid w:val="0024360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4360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4360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4360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43606"/>
    <w:pPr>
      <w:spacing w:before="160"/>
      <w:jc w:val="center"/>
    </w:pPr>
    <w:rPr>
      <w:i/>
      <w:iCs/>
      <w:color w:val="404040" w:themeColor="text1" w:themeTint="BF"/>
    </w:rPr>
  </w:style>
  <w:style w:type="character" w:customStyle="1" w:styleId="QuoteChar">
    <w:name w:val="Quote Char"/>
    <w:basedOn w:val="DefaultParagraphFont"/>
    <w:link w:val="Quote"/>
    <w:uiPriority w:val="29"/>
    <w:rsid w:val="00243606"/>
    <w:rPr>
      <w:i/>
      <w:iCs/>
      <w:color w:val="404040" w:themeColor="text1" w:themeTint="BF"/>
    </w:rPr>
  </w:style>
  <w:style w:type="paragraph" w:styleId="ListParagraph">
    <w:name w:val="List Paragraph"/>
    <w:basedOn w:val="Normal"/>
    <w:uiPriority w:val="34"/>
    <w:qFormat/>
    <w:rsid w:val="00243606"/>
    <w:pPr>
      <w:ind w:left="720"/>
      <w:contextualSpacing/>
    </w:pPr>
  </w:style>
  <w:style w:type="character" w:styleId="IntenseEmphasis">
    <w:name w:val="Intense Emphasis"/>
    <w:basedOn w:val="DefaultParagraphFont"/>
    <w:uiPriority w:val="21"/>
    <w:qFormat/>
    <w:rsid w:val="00243606"/>
    <w:rPr>
      <w:i/>
      <w:iCs/>
      <w:color w:val="2F5496" w:themeColor="accent1" w:themeShade="BF"/>
    </w:rPr>
  </w:style>
  <w:style w:type="paragraph" w:styleId="IntenseQuote">
    <w:name w:val="Intense Quote"/>
    <w:basedOn w:val="Normal"/>
    <w:next w:val="Normal"/>
    <w:link w:val="IntenseQuoteChar"/>
    <w:uiPriority w:val="30"/>
    <w:qFormat/>
    <w:rsid w:val="0024360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43606"/>
    <w:rPr>
      <w:i/>
      <w:iCs/>
      <w:color w:val="2F5496" w:themeColor="accent1" w:themeShade="BF"/>
    </w:rPr>
  </w:style>
  <w:style w:type="character" w:styleId="IntenseReference">
    <w:name w:val="Intense Reference"/>
    <w:basedOn w:val="DefaultParagraphFont"/>
    <w:uiPriority w:val="32"/>
    <w:qFormat/>
    <w:rsid w:val="00243606"/>
    <w:rPr>
      <w:b/>
      <w:bCs/>
      <w:smallCaps/>
      <w:color w:val="2F5496" w:themeColor="accent1" w:themeShade="BF"/>
      <w:spacing w:val="5"/>
    </w:rPr>
  </w:style>
  <w:style w:type="table" w:styleId="TableGrid">
    <w:name w:val="Table Grid"/>
    <w:basedOn w:val="TableNormal"/>
    <w:uiPriority w:val="39"/>
    <w:rsid w:val="002436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310437">
      <w:bodyDiv w:val="1"/>
      <w:marLeft w:val="0"/>
      <w:marRight w:val="0"/>
      <w:marTop w:val="0"/>
      <w:marBottom w:val="0"/>
      <w:divBdr>
        <w:top w:val="none" w:sz="0" w:space="0" w:color="auto"/>
        <w:left w:val="none" w:sz="0" w:space="0" w:color="auto"/>
        <w:bottom w:val="none" w:sz="0" w:space="0" w:color="auto"/>
        <w:right w:val="none" w:sz="0" w:space="0" w:color="auto"/>
      </w:divBdr>
    </w:div>
    <w:div w:id="283079677">
      <w:bodyDiv w:val="1"/>
      <w:marLeft w:val="0"/>
      <w:marRight w:val="0"/>
      <w:marTop w:val="0"/>
      <w:marBottom w:val="0"/>
      <w:divBdr>
        <w:top w:val="none" w:sz="0" w:space="0" w:color="auto"/>
        <w:left w:val="none" w:sz="0" w:space="0" w:color="auto"/>
        <w:bottom w:val="none" w:sz="0" w:space="0" w:color="auto"/>
        <w:right w:val="none" w:sz="0" w:space="0" w:color="auto"/>
      </w:divBdr>
    </w:div>
    <w:div w:id="559219565">
      <w:bodyDiv w:val="1"/>
      <w:marLeft w:val="0"/>
      <w:marRight w:val="0"/>
      <w:marTop w:val="0"/>
      <w:marBottom w:val="0"/>
      <w:divBdr>
        <w:top w:val="none" w:sz="0" w:space="0" w:color="auto"/>
        <w:left w:val="none" w:sz="0" w:space="0" w:color="auto"/>
        <w:bottom w:val="none" w:sz="0" w:space="0" w:color="auto"/>
        <w:right w:val="none" w:sz="0" w:space="0" w:color="auto"/>
      </w:divBdr>
    </w:div>
    <w:div w:id="1293712348">
      <w:bodyDiv w:val="1"/>
      <w:marLeft w:val="0"/>
      <w:marRight w:val="0"/>
      <w:marTop w:val="0"/>
      <w:marBottom w:val="0"/>
      <w:divBdr>
        <w:top w:val="none" w:sz="0" w:space="0" w:color="auto"/>
        <w:left w:val="none" w:sz="0" w:space="0" w:color="auto"/>
        <w:bottom w:val="none" w:sz="0" w:space="0" w:color="auto"/>
        <w:right w:val="none" w:sz="0" w:space="0" w:color="auto"/>
      </w:divBdr>
    </w:div>
    <w:div w:id="1328899492">
      <w:bodyDiv w:val="1"/>
      <w:marLeft w:val="0"/>
      <w:marRight w:val="0"/>
      <w:marTop w:val="0"/>
      <w:marBottom w:val="0"/>
      <w:divBdr>
        <w:top w:val="none" w:sz="0" w:space="0" w:color="auto"/>
        <w:left w:val="none" w:sz="0" w:space="0" w:color="auto"/>
        <w:bottom w:val="none" w:sz="0" w:space="0" w:color="auto"/>
        <w:right w:val="none" w:sz="0" w:space="0" w:color="auto"/>
      </w:divBdr>
    </w:div>
    <w:div w:id="1346783115">
      <w:bodyDiv w:val="1"/>
      <w:marLeft w:val="0"/>
      <w:marRight w:val="0"/>
      <w:marTop w:val="0"/>
      <w:marBottom w:val="0"/>
      <w:divBdr>
        <w:top w:val="none" w:sz="0" w:space="0" w:color="auto"/>
        <w:left w:val="none" w:sz="0" w:space="0" w:color="auto"/>
        <w:bottom w:val="none" w:sz="0" w:space="0" w:color="auto"/>
        <w:right w:val="none" w:sz="0" w:space="0" w:color="auto"/>
      </w:divBdr>
      <w:divsChild>
        <w:div w:id="1845129260">
          <w:blockQuote w:val="1"/>
          <w:marLeft w:val="720"/>
          <w:marRight w:val="720"/>
          <w:marTop w:val="100"/>
          <w:marBottom w:val="100"/>
          <w:divBdr>
            <w:top w:val="none" w:sz="0" w:space="0" w:color="auto"/>
            <w:left w:val="none" w:sz="0" w:space="0" w:color="auto"/>
            <w:bottom w:val="none" w:sz="0" w:space="0" w:color="auto"/>
            <w:right w:val="none" w:sz="0" w:space="0" w:color="auto"/>
          </w:divBdr>
        </w:div>
        <w:div w:id="8832943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2246590">
      <w:bodyDiv w:val="1"/>
      <w:marLeft w:val="0"/>
      <w:marRight w:val="0"/>
      <w:marTop w:val="0"/>
      <w:marBottom w:val="0"/>
      <w:divBdr>
        <w:top w:val="none" w:sz="0" w:space="0" w:color="auto"/>
        <w:left w:val="none" w:sz="0" w:space="0" w:color="auto"/>
        <w:bottom w:val="none" w:sz="0" w:space="0" w:color="auto"/>
        <w:right w:val="none" w:sz="0" w:space="0" w:color="auto"/>
      </w:divBdr>
      <w:divsChild>
        <w:div w:id="316302020">
          <w:blockQuote w:val="1"/>
          <w:marLeft w:val="720"/>
          <w:marRight w:val="720"/>
          <w:marTop w:val="100"/>
          <w:marBottom w:val="100"/>
          <w:divBdr>
            <w:top w:val="none" w:sz="0" w:space="0" w:color="auto"/>
            <w:left w:val="none" w:sz="0" w:space="0" w:color="auto"/>
            <w:bottom w:val="none" w:sz="0" w:space="0" w:color="auto"/>
            <w:right w:val="none" w:sz="0" w:space="0" w:color="auto"/>
          </w:divBdr>
        </w:div>
        <w:div w:id="18367962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33801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4</Pages>
  <Words>800</Words>
  <Characters>4566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Krol, T.E.H. van der (Tijn)</dc:creator>
  <cp:keywords/>
  <dc:description/>
  <cp:lastModifiedBy>Krol, T.E.H. van der (Tijn)</cp:lastModifiedBy>
  <cp:revision>2</cp:revision>
  <dcterms:created xsi:type="dcterms:W3CDTF">2025-05-19T13:30:00Z</dcterms:created>
  <dcterms:modified xsi:type="dcterms:W3CDTF">2025-05-19T14:18:00Z</dcterms:modified>
</cp:coreProperties>
</file>