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黑体" w:hAnsi="黑体" w:eastAsia="黑体" w:cs="黑体"/>
          <w:b w:val="0"/>
          <w:bCs/>
          <w:color w:val="auto"/>
          <w:sz w:val="32"/>
          <w:szCs w:val="32"/>
          <w:highlight w:val="none"/>
          <w:shd w:val="clear" w:color="auto" w:fill="auto"/>
          <w:lang w:val="en-US" w:eastAsia="zh-CN"/>
        </w:rPr>
      </w:pPr>
      <w:r>
        <w:rPr>
          <w:rFonts w:hint="eastAsia" w:ascii="黑体" w:hAnsi="黑体" w:eastAsia="黑体" w:cs="黑体"/>
          <w:b w:val="0"/>
          <w:bCs/>
          <w:color w:val="auto"/>
          <w:sz w:val="32"/>
          <w:szCs w:val="32"/>
          <w:highlight w:val="none"/>
          <w:shd w:val="clear" w:color="auto" w:fill="auto"/>
          <w:lang w:eastAsia="zh-CN"/>
        </w:rPr>
        <w:t>关于</w:t>
      </w:r>
      <w:r>
        <w:rPr>
          <w:rFonts w:hint="eastAsia" w:ascii="黑体" w:hAnsi="黑体" w:eastAsia="黑体" w:cs="黑体"/>
          <w:b w:val="0"/>
          <w:bCs/>
          <w:color w:val="auto"/>
          <w:sz w:val="32"/>
          <w:szCs w:val="32"/>
          <w:highlight w:val="none"/>
          <w:shd w:val="clear" w:color="auto" w:fill="auto"/>
          <w:lang w:val="en-US" w:eastAsia="zh-CN"/>
        </w:rPr>
        <w:t>智慧云督导一站式解决方案的研究分析</w:t>
      </w:r>
    </w:p>
    <w:p>
      <w:pPr>
        <w:numPr>
          <w:ilvl w:val="0"/>
          <w:numId w:val="0"/>
        </w:numPr>
        <w:ind w:firstLine="640" w:firstLineChars="200"/>
        <w:jc w:val="both"/>
        <w:rPr>
          <w:rFonts w:hint="eastAsia" w:ascii="黑体" w:hAnsi="黑体" w:eastAsia="黑体" w:cs="黑体"/>
          <w:b w:val="0"/>
          <w:bCs/>
          <w:color w:val="auto"/>
          <w:sz w:val="32"/>
          <w:szCs w:val="32"/>
          <w:highlight w:val="none"/>
          <w:shd w:val="clear" w:color="auto" w:fill="auto"/>
          <w:lang w:val="en-US" w:eastAsia="zh-CN"/>
        </w:rPr>
      </w:pPr>
    </w:p>
    <w:p>
      <w:pPr>
        <w:jc w:val="center"/>
        <w:rPr>
          <w:rFonts w:hint="default" w:ascii="楷体" w:hAnsi="楷体" w:eastAsia="楷体" w:cs="楷体"/>
          <w:b w:val="0"/>
          <w:bCs/>
          <w:color w:val="auto"/>
          <w:sz w:val="24"/>
          <w:szCs w:val="24"/>
          <w:highlight w:val="none"/>
          <w:shd w:val="clear" w:color="auto" w:fill="auto"/>
          <w:lang w:val="en-US" w:eastAsia="zh-CN"/>
        </w:rPr>
      </w:pPr>
      <w:r>
        <w:rPr>
          <w:rFonts w:hint="eastAsia" w:ascii="楷体" w:hAnsi="楷体" w:eastAsia="楷体" w:cs="楷体"/>
          <w:b w:val="0"/>
          <w:bCs/>
          <w:color w:val="auto"/>
          <w:sz w:val="24"/>
          <w:szCs w:val="24"/>
          <w:highlight w:val="none"/>
          <w:shd w:val="clear" w:color="auto" w:fill="auto"/>
          <w:lang w:val="en-US" w:eastAsia="zh-CN"/>
        </w:rPr>
        <w:t xml:space="preserve">  彭友 陈建新 王其洲 郭玉凯 吴文静</w:t>
      </w:r>
    </w:p>
    <w:p>
      <w:pPr>
        <w:numPr>
          <w:ilvl w:val="0"/>
          <w:numId w:val="0"/>
        </w:numPr>
        <w:ind w:leftChars="0"/>
        <w:jc w:val="both"/>
        <w:rPr>
          <w:rFonts w:hint="eastAsia" w:ascii="楷体" w:hAnsi="楷体" w:eastAsia="楷体" w:cs="楷体"/>
          <w:b/>
          <w:bCs w:val="0"/>
          <w:color w:val="5B9BD5"/>
          <w:sz w:val="28"/>
          <w:szCs w:val="28"/>
          <w:highlight w:val="none"/>
          <w:shd w:val="clear" w:color="auto" w:fill="auto"/>
          <w:lang w:val="en-US" w:eastAsia="zh-CN"/>
        </w:rPr>
      </w:pPr>
    </w:p>
    <w:p>
      <w:pPr>
        <w:autoSpaceDE w:val="0"/>
        <w:autoSpaceDN w:val="0"/>
        <w:adjustRightInd w:val="0"/>
        <w:jc w:val="both"/>
        <w:rPr>
          <w:rFonts w:hint="default" w:ascii="楷体" w:hAnsi="楷体" w:eastAsia="楷体" w:cs="楷体"/>
          <w:b w:val="0"/>
          <w:bCs w:val="0"/>
          <w:color w:val="auto"/>
          <w:sz w:val="24"/>
          <w:szCs w:val="24"/>
          <w:highlight w:val="none"/>
          <w:shd w:val="clear" w:color="auto" w:fill="auto"/>
          <w:lang w:val="en-US" w:eastAsia="zh-CN"/>
        </w:rPr>
      </w:pPr>
      <w:r>
        <w:rPr>
          <w:rFonts w:hint="eastAsia" w:ascii="楷体" w:hAnsi="楷体" w:eastAsia="楷体" w:cs="楷体"/>
          <w:b/>
          <w:bCs w:val="0"/>
          <w:color w:val="auto"/>
          <w:sz w:val="24"/>
          <w:szCs w:val="24"/>
          <w:lang w:val="en-US" w:eastAsia="zh-CN"/>
        </w:rPr>
        <w:t>摘要：</w:t>
      </w:r>
      <w:r>
        <w:rPr>
          <w:rFonts w:hint="eastAsia" w:ascii="楷体" w:hAnsi="楷体" w:eastAsia="楷体" w:cs="楷体"/>
          <w:b w:val="0"/>
          <w:bCs w:val="0"/>
          <w:color w:val="auto"/>
          <w:sz w:val="24"/>
          <w:szCs w:val="24"/>
          <w:lang w:val="en-US" w:eastAsia="zh-CN"/>
        </w:rPr>
        <w:t>随着教育治理体系现代化的不断推进，“督政—督学—评估监测”三位一体的督导体系逐步建立、完善和巩固。在这种背景下，教育督导的职能走向一体化，重心转向“督学“，更加注重“指导”；督导机构相对独立设置，独立行使职能；督导方式更加科学，评估监测成为教育督导的前提和基础；督导人员走向专业化，督学资格认定大势所趋；督导实施逐步社会化，第三方成为教育督导的重要力量；督导结果的发布与使用更加规范。本研究基于智慧督导云平台服务以及智慧督导大数据角度分析在现代教育理念下发挥的重要作用。</w:t>
      </w:r>
    </w:p>
    <w:p>
      <w:pPr>
        <w:rPr>
          <w:rFonts w:hint="eastAsia" w:ascii="楷体" w:hAnsi="楷体" w:eastAsia="楷体" w:cs="楷体"/>
          <w:b/>
          <w:bCs w:val="0"/>
          <w:color w:val="auto"/>
          <w:sz w:val="24"/>
          <w:szCs w:val="24"/>
          <w:highlight w:val="none"/>
          <w:shd w:val="clear" w:color="auto" w:fill="auto"/>
          <w:lang w:val="en-US" w:eastAsia="zh-CN"/>
        </w:rPr>
      </w:pPr>
    </w:p>
    <w:p>
      <w:pPr>
        <w:rPr>
          <w:rFonts w:hint="eastAsia" w:ascii="楷体" w:hAnsi="楷体" w:eastAsia="楷体" w:cs="楷体"/>
          <w:b w:val="0"/>
          <w:bCs/>
          <w:color w:val="auto"/>
          <w:sz w:val="24"/>
          <w:szCs w:val="24"/>
          <w:lang w:val="en-US" w:eastAsia="zh-CN"/>
        </w:rPr>
      </w:pPr>
      <w:r>
        <w:rPr>
          <w:rFonts w:hint="eastAsia" w:ascii="楷体" w:hAnsi="楷体" w:eastAsia="楷体" w:cs="楷体"/>
          <w:b/>
          <w:bCs w:val="0"/>
          <w:color w:val="auto"/>
          <w:sz w:val="24"/>
          <w:szCs w:val="24"/>
          <w:highlight w:val="none"/>
          <w:shd w:val="clear" w:color="auto" w:fill="auto"/>
          <w:lang w:val="en-US" w:eastAsia="zh-CN"/>
        </w:rPr>
        <w:t>关键词：</w:t>
      </w:r>
      <w:r>
        <w:rPr>
          <w:rFonts w:hint="eastAsia" w:ascii="楷体" w:hAnsi="楷体" w:eastAsia="楷体" w:cs="楷体"/>
          <w:b w:val="0"/>
          <w:bCs/>
          <w:color w:val="auto"/>
          <w:sz w:val="24"/>
          <w:szCs w:val="24"/>
          <w:lang w:val="en-US" w:eastAsia="zh-CN"/>
        </w:rPr>
        <w:t>智慧督导、云服务</w:t>
      </w:r>
      <w:r>
        <w:rPr>
          <w:rFonts w:hint="eastAsia" w:ascii="楷体" w:hAnsi="楷体" w:eastAsia="楷体" w:cs="楷体"/>
          <w:b w:val="0"/>
          <w:bCs/>
          <w:color w:val="auto"/>
          <w:sz w:val="24"/>
          <w:szCs w:val="24"/>
          <w:lang w:eastAsia="zh-CN"/>
        </w:rPr>
        <w:t>、</w:t>
      </w:r>
      <w:r>
        <w:rPr>
          <w:rFonts w:hint="eastAsia" w:ascii="楷体" w:hAnsi="楷体" w:eastAsia="楷体" w:cs="楷体"/>
          <w:b w:val="0"/>
          <w:bCs w:val="0"/>
          <w:color w:val="auto"/>
          <w:sz w:val="24"/>
          <w:szCs w:val="24"/>
          <w:lang w:val="en-US" w:eastAsia="zh-CN"/>
        </w:rPr>
        <w:t>智慧督导大数据</w:t>
      </w:r>
      <w:r>
        <w:rPr>
          <w:rFonts w:hint="eastAsia" w:ascii="楷体" w:hAnsi="楷体" w:eastAsia="楷体" w:cs="楷体"/>
          <w:b w:val="0"/>
          <w:bCs/>
          <w:color w:val="auto"/>
          <w:sz w:val="24"/>
          <w:szCs w:val="24"/>
          <w:lang w:val="en-US" w:eastAsia="zh-CN"/>
        </w:rPr>
        <w:t>、督导职能一体化</w:t>
      </w:r>
    </w:p>
    <w:p>
      <w:pPr>
        <w:rPr>
          <w:rFonts w:hint="default" w:ascii="楷体" w:hAnsi="楷体" w:eastAsia="楷体" w:cs="楷体"/>
          <w:color w:val="5B9BD5"/>
          <w:sz w:val="28"/>
          <w:szCs w:val="28"/>
          <w:lang w:val="en-US" w:eastAsia="zh-CN"/>
        </w:rPr>
      </w:pPr>
    </w:p>
    <w:p>
      <w:pPr>
        <w:numPr>
          <w:ilvl w:val="0"/>
          <w:numId w:val="0"/>
        </w:numPr>
        <w:ind w:leftChars="0" w:firstLine="480" w:firstLineChars="200"/>
        <w:jc w:val="both"/>
        <w:rPr>
          <w:rFonts w:hint="default" w:ascii="楷体" w:hAnsi="楷体" w:eastAsia="楷体" w:cs="楷体"/>
          <w:color w:val="auto"/>
          <w:sz w:val="24"/>
          <w:szCs w:val="24"/>
          <w:lang w:val="en-US" w:eastAsia="zh-CN"/>
        </w:rPr>
      </w:pPr>
      <w:r>
        <w:rPr>
          <w:rFonts w:hint="default" w:ascii="楷体" w:hAnsi="楷体" w:eastAsia="楷体" w:cs="楷体"/>
          <w:color w:val="auto"/>
          <w:sz w:val="24"/>
          <w:szCs w:val="24"/>
          <w:lang w:val="en-US" w:eastAsia="zh-CN"/>
        </w:rPr>
        <w:t>根据教育</w:t>
      </w:r>
      <w:r>
        <w:rPr>
          <w:rFonts w:hint="eastAsia" w:ascii="楷体" w:hAnsi="楷体" w:eastAsia="楷体" w:cs="楷体"/>
          <w:color w:val="auto"/>
          <w:sz w:val="24"/>
          <w:szCs w:val="24"/>
          <w:lang w:val="en-US" w:eastAsia="zh-CN"/>
        </w:rPr>
        <w:t>教学</w:t>
      </w:r>
      <w:r>
        <w:rPr>
          <w:rFonts w:hint="default" w:ascii="楷体" w:hAnsi="楷体" w:eastAsia="楷体" w:cs="楷体"/>
          <w:color w:val="auto"/>
          <w:sz w:val="24"/>
          <w:szCs w:val="24"/>
          <w:lang w:val="en-US" w:eastAsia="zh-CN"/>
        </w:rPr>
        <w:t>督导相关文件的指导思想，结合多年来专注于教育信息化解决方案的研究经验，提出了“智慧教育云督导一站式解决方案”，致力于通过信息化手段，将教育督导工作现代化提高一大步，通过积木式开发技术和评估体系定制等多种方式，满足教育督导持续增长的多样化评估现实需求。</w:t>
      </w:r>
      <w:r>
        <w:rPr>
          <w:rFonts w:hint="eastAsia" w:ascii="楷体" w:hAnsi="楷体" w:eastAsia="楷体" w:cs="楷体"/>
          <w:color w:val="auto"/>
          <w:sz w:val="24"/>
          <w:szCs w:val="24"/>
          <w:lang w:val="en-US" w:eastAsia="zh-CN"/>
        </w:rPr>
        <w:t>而本课题基于</w:t>
      </w:r>
      <w:r>
        <w:rPr>
          <w:rFonts w:hint="eastAsia" w:ascii="楷体" w:hAnsi="楷体" w:eastAsia="楷体" w:cs="楷体"/>
          <w:b w:val="0"/>
          <w:bCs w:val="0"/>
          <w:color w:val="auto"/>
          <w:sz w:val="24"/>
          <w:szCs w:val="24"/>
          <w:lang w:val="en-US" w:eastAsia="zh-CN"/>
        </w:rPr>
        <w:t>智慧督导云平台服务以及智慧督导大数据角度分析，重点突出了“督政—督学—评估监测”的方针实施执行情况，从而更好的为教</w:t>
      </w:r>
      <w:r>
        <w:rPr>
          <w:rFonts w:hint="default" w:ascii="楷体" w:hAnsi="楷体" w:eastAsia="楷体" w:cs="楷体"/>
          <w:color w:val="auto"/>
          <w:sz w:val="24"/>
          <w:szCs w:val="24"/>
          <w:lang w:val="en-US" w:eastAsia="zh-CN"/>
        </w:rPr>
        <w:t>育</w:t>
      </w:r>
      <w:r>
        <w:rPr>
          <w:rFonts w:hint="eastAsia" w:ascii="楷体" w:hAnsi="楷体" w:eastAsia="楷体" w:cs="楷体"/>
          <w:color w:val="auto"/>
          <w:sz w:val="24"/>
          <w:szCs w:val="24"/>
          <w:lang w:val="en-US" w:eastAsia="zh-CN"/>
        </w:rPr>
        <w:t>教学</w:t>
      </w:r>
      <w:r>
        <w:rPr>
          <w:rFonts w:hint="default" w:ascii="楷体" w:hAnsi="楷体" w:eastAsia="楷体" w:cs="楷体"/>
          <w:color w:val="auto"/>
          <w:sz w:val="24"/>
          <w:szCs w:val="24"/>
          <w:lang w:val="en-US" w:eastAsia="zh-CN"/>
        </w:rPr>
        <w:t>督导</w:t>
      </w:r>
      <w:r>
        <w:rPr>
          <w:rFonts w:hint="eastAsia" w:ascii="楷体" w:hAnsi="楷体" w:eastAsia="楷体" w:cs="楷体"/>
          <w:color w:val="auto"/>
          <w:sz w:val="24"/>
          <w:szCs w:val="24"/>
          <w:lang w:val="en-US" w:eastAsia="zh-CN"/>
        </w:rPr>
        <w:t>工作提供服务。</w:t>
      </w:r>
    </w:p>
    <w:p>
      <w:pPr>
        <w:rPr>
          <w:rFonts w:hint="eastAsia" w:ascii="楷体" w:hAnsi="楷体" w:eastAsia="楷体" w:cs="楷体"/>
          <w:color w:val="auto"/>
          <w:sz w:val="24"/>
          <w:szCs w:val="24"/>
          <w:lang w:val="en-US" w:eastAsia="zh-CN"/>
        </w:rPr>
      </w:pPr>
      <w:r>
        <w:rPr>
          <w:rFonts w:hint="eastAsia" w:ascii="楷体" w:hAnsi="楷体" w:eastAsia="楷体" w:cs="楷体"/>
          <w:b/>
          <w:bCs/>
          <w:color w:val="auto"/>
          <w:sz w:val="24"/>
          <w:szCs w:val="24"/>
          <w:lang w:val="en-US" w:eastAsia="zh-CN"/>
        </w:rPr>
        <w:t>1，督政云服务，提供阳光督导服务</w:t>
      </w:r>
    </w:p>
    <w:p>
      <w:pPr>
        <w:ind w:firstLine="420" w:firstLineChars="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满足于省、市、区县等地方政府履行教育职责督导评价机制，通过制定评价指标、制定评估流程、制定分值权重，实现符合各地方政府工作流程的专项督导评估系统。根据《国家中长期教育改革和发展规划纲要》和省市区对教育督导工作的要求，该平台满足省、市、区三级督导部门及学校对义务教育均衡发展检测的需要，提供基本均衡检测和优质均衡检测，为教育决策、管理、评价提供高效的工作方式、科学的管理方法和可靠的信息依据。智慧云督导在督政方面工作有以下主要内容：</w:t>
      </w:r>
    </w:p>
    <w:p>
      <w:pPr>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A; 制定完善有效的督政制度，教育督政与</w:t>
      </w:r>
      <w:r>
        <w:rPr>
          <w:rFonts w:hint="eastAsia" w:ascii="楷体" w:hAnsi="楷体" w:eastAsia="楷体" w:cs="楷体"/>
          <w:color w:val="auto"/>
          <w:sz w:val="24"/>
          <w:szCs w:val="24"/>
          <w:lang w:val="en-US" w:eastAsia="zh-CN"/>
        </w:rPr>
        <w:fldChar w:fldCharType="begin"/>
      </w:r>
      <w:r>
        <w:rPr>
          <w:rFonts w:hint="eastAsia" w:ascii="楷体" w:hAnsi="楷体" w:eastAsia="楷体" w:cs="楷体"/>
          <w:color w:val="auto"/>
          <w:sz w:val="24"/>
          <w:szCs w:val="24"/>
          <w:lang w:val="en-US" w:eastAsia="zh-CN"/>
        </w:rPr>
        <w:instrText xml:space="preserve"> HYPERLINK "http://d.wanfangdata.com.cn/Periodical/jykx200502011" \t "https://xueshu.baidu.com/usercenter/paper/_blank" </w:instrText>
      </w:r>
      <w:r>
        <w:rPr>
          <w:rFonts w:hint="eastAsia" w:ascii="楷体" w:hAnsi="楷体" w:eastAsia="楷体" w:cs="楷体"/>
          <w:color w:val="auto"/>
          <w:sz w:val="24"/>
          <w:szCs w:val="24"/>
          <w:lang w:val="en-US" w:eastAsia="zh-CN"/>
        </w:rPr>
        <w:fldChar w:fldCharType="separate"/>
      </w:r>
      <w:r>
        <w:rPr>
          <w:rFonts w:hint="eastAsia" w:ascii="楷体" w:hAnsi="楷体" w:eastAsia="楷体" w:cs="楷体"/>
          <w:color w:val="auto"/>
          <w:sz w:val="24"/>
          <w:szCs w:val="24"/>
          <w:lang w:val="en-US" w:eastAsia="zh-CN"/>
        </w:rPr>
        <w:t>督学相结合——中国教育督导制度的显著特色</w:t>
      </w:r>
      <w:r>
        <w:rPr>
          <w:rFonts w:hint="eastAsia" w:ascii="楷体" w:hAnsi="楷体" w:eastAsia="楷体" w:cs="楷体"/>
          <w:color w:val="auto"/>
          <w:sz w:val="24"/>
          <w:szCs w:val="24"/>
          <w:lang w:val="en-US" w:eastAsia="zh-CN"/>
        </w:rPr>
        <w:fldChar w:fldCharType="end"/>
      </w:r>
      <w:r>
        <w:rPr>
          <w:rFonts w:hint="eastAsia" w:ascii="楷体" w:hAnsi="楷体" w:eastAsia="楷体" w:cs="楷体"/>
          <w:color w:val="auto"/>
          <w:sz w:val="24"/>
          <w:szCs w:val="24"/>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B; 明确分工各工作人员工作计划，明确督政在教育工作发挥应有的巨大作用；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C; 标准定制，由于省、市、区县等地方政府在工作方面实际情况存在复杂性与差异性，系统对于标准采取定制，做到标准定制；</w:t>
      </w:r>
      <w:r>
        <w:rPr>
          <w:rFonts w:hint="eastAsia" w:ascii="楷体" w:hAnsi="楷体" w:eastAsia="楷体" w:cs="楷体"/>
          <w:color w:val="auto"/>
          <w:sz w:val="24"/>
          <w:szCs w:val="24"/>
          <w:lang w:val="en-US" w:eastAsia="zh-CN"/>
        </w:rPr>
        <w:br w:type="textWrapping"/>
      </w:r>
      <w:r>
        <w:rPr>
          <w:rFonts w:hint="eastAsia" w:ascii="楷体" w:hAnsi="楷体" w:eastAsia="楷体" w:cs="楷体"/>
          <w:color w:val="auto"/>
          <w:sz w:val="24"/>
          <w:szCs w:val="24"/>
          <w:lang w:val="en-US" w:eastAsia="zh-CN"/>
        </w:rPr>
        <w:t>D; 职责分工，职责审验，各处设立督导室，负责督政工作；</w:t>
      </w:r>
      <w:r>
        <w:rPr>
          <w:rFonts w:hint="eastAsia" w:ascii="楷体" w:hAnsi="楷体" w:eastAsia="楷体" w:cs="楷体"/>
          <w:color w:val="auto"/>
          <w:sz w:val="24"/>
          <w:szCs w:val="24"/>
          <w:lang w:val="en-US" w:eastAsia="zh-CN"/>
        </w:rPr>
        <w:br w:type="textWrapping"/>
      </w:r>
      <w:r>
        <w:rPr>
          <w:rFonts w:hint="eastAsia" w:ascii="楷体" w:hAnsi="楷体" w:eastAsia="楷体" w:cs="楷体"/>
          <w:color w:val="auto"/>
          <w:sz w:val="24"/>
          <w:szCs w:val="24"/>
          <w:lang w:val="en-US" w:eastAsia="zh-CN"/>
        </w:rPr>
        <w:t>E; 满意度调查</w:t>
      </w:r>
      <w:r>
        <w:rPr>
          <w:rFonts w:hint="eastAsia" w:ascii="楷体" w:hAnsi="楷体" w:eastAsia="楷体" w:cs="楷体"/>
          <w:color w:val="auto"/>
          <w:sz w:val="24"/>
          <w:szCs w:val="24"/>
          <w:lang w:val="en-US" w:eastAsia="zh-CN"/>
        </w:rPr>
        <w:br w:type="textWrapping"/>
      </w:r>
      <w:r>
        <w:rPr>
          <w:rFonts w:hint="eastAsia" w:ascii="楷体" w:hAnsi="楷体" w:eastAsia="楷体" w:cs="楷体"/>
          <w:color w:val="auto"/>
          <w:sz w:val="24"/>
          <w:szCs w:val="24"/>
          <w:lang w:val="en-US" w:eastAsia="zh-CN"/>
        </w:rPr>
        <w:t>F; 专项督导，对于工作人员工作的执行情况与效率，专项督导，适时派出督导检查组，对各地方政府工作人员工作情况进行督导检查。</w:t>
      </w:r>
    </w:p>
    <w:p>
      <w:pPr>
        <w:pStyle w:val="3"/>
        <w:rPr>
          <w:rStyle w:val="7"/>
          <w:rFonts w:hint="eastAsia" w:ascii="宋体" w:hAnsi="宋体" w:eastAsia="宋体" w:cs="宋体"/>
          <w:sz w:val="15"/>
          <w:szCs w:val="15"/>
        </w:rPr>
      </w:pPr>
      <w:r>
        <w:rPr>
          <w:rStyle w:val="7"/>
          <w:rFonts w:hint="eastAsia" w:ascii="宋体" w:hAnsi="宋体" w:eastAsia="宋体" w:cs="宋体"/>
          <w:sz w:val="15"/>
          <w:szCs w:val="15"/>
        </w:rPr>
        <w:sym w:font="Symbol" w:char="F020"/>
      </w:r>
    </w:p>
    <w:p>
      <w:pPr>
        <w:pStyle w:val="3"/>
        <w:rPr>
          <w:rFonts w:hint="default" w:ascii="宋体" w:hAnsi="宋体"/>
          <w:sz w:val="15"/>
          <w:szCs w:val="15"/>
          <w:lang w:val="en-US" w:eastAsia="zh-CN"/>
        </w:rPr>
      </w:pPr>
      <w:r>
        <w:rPr>
          <w:rFonts w:hint="eastAsia" w:ascii="宋体" w:hAnsi="宋体" w:eastAsia="宋体" w:cs="宋体"/>
          <w:sz w:val="15"/>
          <w:szCs w:val="15"/>
          <w:lang w:val="en-US" w:eastAsia="zh-CN"/>
        </w:rPr>
        <w:t xml:space="preserve">彭友  </w:t>
      </w:r>
      <w:r>
        <w:rPr>
          <w:rFonts w:hint="eastAsia" w:ascii="宋体" w:hAnsi="宋体"/>
          <w:sz w:val="15"/>
          <w:szCs w:val="15"/>
        </w:rPr>
        <w:t>（</w:t>
      </w:r>
      <w:r>
        <w:rPr>
          <w:rFonts w:ascii="宋体" w:hAnsi="宋体"/>
          <w:sz w:val="15"/>
          <w:szCs w:val="15"/>
        </w:rPr>
        <w:t>19</w:t>
      </w:r>
      <w:r>
        <w:rPr>
          <w:rFonts w:hint="eastAsia" w:ascii="宋体" w:hAnsi="宋体"/>
          <w:sz w:val="15"/>
          <w:szCs w:val="15"/>
          <w:lang w:val="en-US" w:eastAsia="zh-CN"/>
        </w:rPr>
        <w:t>76</w:t>
      </w:r>
      <w:r>
        <w:rPr>
          <w:rFonts w:ascii="宋体" w:hAnsi="宋体"/>
          <w:sz w:val="15"/>
          <w:szCs w:val="15"/>
        </w:rPr>
        <w:t>—</w:t>
      </w:r>
      <w:r>
        <w:rPr>
          <w:rFonts w:hint="eastAsia" w:ascii="宋体" w:hAnsi="宋体"/>
          <w:sz w:val="15"/>
          <w:szCs w:val="15"/>
        </w:rPr>
        <w:t>）男，</w:t>
      </w:r>
      <w:r>
        <w:rPr>
          <w:rFonts w:hint="eastAsia" w:ascii="宋体" w:hAnsi="宋体"/>
          <w:sz w:val="15"/>
          <w:szCs w:val="15"/>
          <w:lang w:val="en-US" w:eastAsia="zh-CN"/>
        </w:rPr>
        <w:t>安徽省芯瑞达科技股份有限公司董事长，国家万人计划入选者</w:t>
      </w:r>
    </w:p>
    <w:p>
      <w:pPr>
        <w:pStyle w:val="3"/>
        <w:rPr>
          <w:rFonts w:ascii="宋体"/>
          <w:sz w:val="15"/>
          <w:szCs w:val="15"/>
        </w:rPr>
      </w:pPr>
      <w:r>
        <w:rPr>
          <w:rFonts w:hint="eastAsia" w:ascii="宋体" w:hAnsi="宋体"/>
          <w:sz w:val="15"/>
          <w:szCs w:val="15"/>
        </w:rPr>
        <w:t>陈建新（</w:t>
      </w:r>
      <w:r>
        <w:rPr>
          <w:rFonts w:ascii="宋体" w:hAnsi="宋体"/>
          <w:sz w:val="15"/>
          <w:szCs w:val="15"/>
        </w:rPr>
        <w:t>1962—</w:t>
      </w:r>
      <w:r>
        <w:rPr>
          <w:rFonts w:hint="eastAsia" w:ascii="宋体" w:hAnsi="宋体"/>
          <w:sz w:val="15"/>
          <w:szCs w:val="15"/>
        </w:rPr>
        <w:t>）男，</w:t>
      </w:r>
      <w:r>
        <w:rPr>
          <w:rFonts w:hint="eastAsia" w:ascii="宋体" w:hAnsi="宋体"/>
          <w:sz w:val="15"/>
          <w:szCs w:val="15"/>
          <w:lang w:val="en-US" w:eastAsia="zh-CN"/>
        </w:rPr>
        <w:t>安徽省芯瑞达科技股份有限公司总工程师，</w:t>
      </w:r>
      <w:r>
        <w:rPr>
          <w:rFonts w:hint="eastAsia" w:ascii="宋体" w:hAnsi="宋体"/>
          <w:sz w:val="15"/>
          <w:szCs w:val="15"/>
        </w:rPr>
        <w:t>安徽省技术领军人才、高级工程师、副研究员、高级经济师，</w:t>
      </w:r>
    </w:p>
    <w:p>
      <w:pPr>
        <w:pStyle w:val="3"/>
        <w:rPr>
          <w:rFonts w:hint="eastAsia" w:ascii="宋体" w:hAnsi="宋体" w:eastAsia="宋体" w:cs="宋体"/>
          <w:sz w:val="15"/>
          <w:szCs w:val="15"/>
          <w:lang w:val="en-US" w:eastAsia="zh-CN"/>
        </w:rPr>
      </w:pPr>
      <w:r>
        <w:rPr>
          <w:rFonts w:hint="eastAsia" w:ascii="宋体" w:hAnsi="宋体" w:eastAsia="宋体" w:cs="宋体"/>
          <w:b w:val="0"/>
          <w:bCs/>
          <w:color w:val="auto"/>
          <w:sz w:val="15"/>
          <w:szCs w:val="15"/>
          <w:highlight w:val="none"/>
          <w:shd w:val="clear" w:color="auto" w:fill="auto"/>
          <w:lang w:val="en-US" w:eastAsia="zh-CN"/>
        </w:rPr>
        <w:t>王其洲</w:t>
      </w:r>
      <w:r>
        <w:rPr>
          <w:rFonts w:hint="eastAsia" w:ascii="宋体" w:hAnsi="宋体" w:eastAsia="宋体" w:cs="宋体"/>
          <w:sz w:val="15"/>
          <w:szCs w:val="15"/>
        </w:rPr>
        <w:t>（196</w:t>
      </w:r>
      <w:r>
        <w:rPr>
          <w:rFonts w:hint="eastAsia" w:ascii="宋体" w:hAnsi="宋体" w:eastAsia="宋体" w:cs="宋体"/>
          <w:sz w:val="15"/>
          <w:szCs w:val="15"/>
          <w:lang w:val="en-US" w:eastAsia="zh-CN"/>
        </w:rPr>
        <w:t>9</w:t>
      </w:r>
      <w:r>
        <w:rPr>
          <w:rFonts w:hint="eastAsia" w:ascii="宋体" w:hAnsi="宋体" w:eastAsia="宋体" w:cs="宋体"/>
          <w:sz w:val="15"/>
          <w:szCs w:val="15"/>
        </w:rPr>
        <w:t>—）男，</w:t>
      </w:r>
      <w:r>
        <w:rPr>
          <w:rFonts w:hint="eastAsia" w:ascii="宋体" w:hAnsi="宋体" w:eastAsia="宋体" w:cs="宋体"/>
          <w:sz w:val="15"/>
          <w:szCs w:val="15"/>
          <w:lang w:val="en-US" w:eastAsia="zh-CN"/>
        </w:rPr>
        <w:t>安徽省芯瑞达科技股份有限公司 工程师</w:t>
      </w:r>
    </w:p>
    <w:p>
      <w:pPr>
        <w:pStyle w:val="3"/>
        <w:rPr>
          <w:rFonts w:hint="eastAsia" w:ascii="宋体" w:hAnsi="宋体" w:eastAsia="宋体" w:cs="宋体"/>
          <w:sz w:val="15"/>
          <w:szCs w:val="15"/>
          <w:lang w:val="en-US" w:eastAsia="zh-CN"/>
        </w:rPr>
      </w:pPr>
      <w:r>
        <w:rPr>
          <w:rFonts w:hint="eastAsia" w:ascii="宋体" w:hAnsi="宋体" w:cs="宋体"/>
          <w:sz w:val="15"/>
          <w:szCs w:val="15"/>
          <w:lang w:val="en-US" w:eastAsia="zh-CN"/>
        </w:rPr>
        <w:t>郭玉凯</w:t>
      </w:r>
      <w:r>
        <w:rPr>
          <w:rFonts w:hint="eastAsia" w:ascii="宋体" w:hAnsi="宋体" w:eastAsia="宋体" w:cs="宋体"/>
          <w:sz w:val="15"/>
          <w:szCs w:val="15"/>
        </w:rPr>
        <w:t>（19</w:t>
      </w:r>
      <w:r>
        <w:rPr>
          <w:rFonts w:hint="eastAsia" w:ascii="宋体" w:hAnsi="宋体" w:cs="宋体"/>
          <w:sz w:val="15"/>
          <w:szCs w:val="15"/>
          <w:lang w:val="en-US" w:eastAsia="zh-CN"/>
        </w:rPr>
        <w:t>91</w:t>
      </w:r>
      <w:r>
        <w:rPr>
          <w:rFonts w:hint="eastAsia" w:ascii="宋体" w:hAnsi="宋体" w:eastAsia="宋体" w:cs="宋体"/>
          <w:sz w:val="15"/>
          <w:szCs w:val="15"/>
        </w:rPr>
        <w:t>—）男，</w:t>
      </w:r>
      <w:r>
        <w:rPr>
          <w:rFonts w:hint="eastAsia" w:ascii="宋体" w:hAnsi="宋体" w:eastAsia="宋体" w:cs="宋体"/>
          <w:sz w:val="15"/>
          <w:szCs w:val="15"/>
          <w:lang w:val="en-US" w:eastAsia="zh-CN"/>
        </w:rPr>
        <w:t>安徽</w:t>
      </w:r>
      <w:r>
        <w:rPr>
          <w:rFonts w:hint="eastAsia" w:ascii="宋体" w:hAnsi="宋体" w:cs="宋体"/>
          <w:sz w:val="15"/>
          <w:szCs w:val="15"/>
          <w:lang w:val="en-US" w:eastAsia="zh-CN"/>
        </w:rPr>
        <w:t>连营电子科技有限公司</w:t>
      </w:r>
      <w:r>
        <w:rPr>
          <w:rFonts w:hint="eastAsia" w:ascii="宋体" w:hAnsi="宋体" w:eastAsia="宋体" w:cs="宋体"/>
          <w:sz w:val="15"/>
          <w:szCs w:val="15"/>
          <w:lang w:val="en-US" w:eastAsia="zh-CN"/>
        </w:rPr>
        <w:t xml:space="preserve"> </w:t>
      </w:r>
      <w:r>
        <w:rPr>
          <w:rFonts w:hint="eastAsia" w:ascii="宋体" w:hAnsi="宋体" w:cs="宋体"/>
          <w:sz w:val="15"/>
          <w:szCs w:val="15"/>
          <w:lang w:val="en-US" w:eastAsia="zh-CN"/>
        </w:rPr>
        <w:t>技术研发</w:t>
      </w:r>
      <w:r>
        <w:rPr>
          <w:rFonts w:hint="eastAsia" w:ascii="宋体" w:hAnsi="宋体" w:eastAsia="宋体" w:cs="宋体"/>
          <w:sz w:val="15"/>
          <w:szCs w:val="15"/>
          <w:lang w:val="en-US" w:eastAsia="zh-CN"/>
        </w:rPr>
        <w:t>工程师</w:t>
      </w:r>
      <w:bookmarkStart w:id="0" w:name="_GoBack"/>
      <w:bookmarkEnd w:id="0"/>
    </w:p>
    <w:p>
      <w:pPr>
        <w:pStyle w:val="3"/>
        <w:rPr>
          <w:rFonts w:hint="eastAsia" w:ascii="宋体" w:hAnsi="宋体" w:eastAsia="宋体" w:cs="宋体"/>
          <w:sz w:val="15"/>
          <w:szCs w:val="15"/>
          <w:lang w:val="en-US" w:eastAsia="zh-CN"/>
        </w:rPr>
      </w:pPr>
      <w:r>
        <w:rPr>
          <w:rFonts w:hint="eastAsia" w:ascii="宋体" w:hAnsi="宋体" w:cs="宋体"/>
          <w:sz w:val="15"/>
          <w:szCs w:val="15"/>
          <w:lang w:val="en-US" w:eastAsia="zh-CN"/>
        </w:rPr>
        <w:t>吴文静</w:t>
      </w:r>
      <w:r>
        <w:rPr>
          <w:rFonts w:hint="eastAsia" w:ascii="宋体" w:hAnsi="宋体" w:eastAsia="宋体" w:cs="宋体"/>
          <w:sz w:val="15"/>
          <w:szCs w:val="15"/>
        </w:rPr>
        <w:t>（19</w:t>
      </w:r>
      <w:r>
        <w:rPr>
          <w:rFonts w:hint="eastAsia" w:ascii="宋体" w:hAnsi="宋体" w:cs="宋体"/>
          <w:sz w:val="15"/>
          <w:szCs w:val="15"/>
          <w:lang w:val="en-US" w:eastAsia="zh-CN"/>
        </w:rPr>
        <w:t>89</w:t>
      </w:r>
      <w:r>
        <w:rPr>
          <w:rFonts w:hint="eastAsia" w:ascii="宋体" w:hAnsi="宋体" w:eastAsia="宋体" w:cs="宋体"/>
          <w:sz w:val="15"/>
          <w:szCs w:val="15"/>
        </w:rPr>
        <w:t>—）</w:t>
      </w:r>
      <w:r>
        <w:rPr>
          <w:rFonts w:hint="eastAsia" w:ascii="宋体" w:hAnsi="宋体" w:cs="宋体"/>
          <w:sz w:val="15"/>
          <w:szCs w:val="15"/>
          <w:lang w:val="en-US" w:eastAsia="zh-CN"/>
        </w:rPr>
        <w:t>女</w:t>
      </w:r>
      <w:r>
        <w:rPr>
          <w:rFonts w:hint="eastAsia" w:ascii="宋体" w:hAnsi="宋体" w:eastAsia="宋体" w:cs="宋体"/>
          <w:sz w:val="15"/>
          <w:szCs w:val="15"/>
        </w:rPr>
        <w:t>，</w:t>
      </w:r>
      <w:r>
        <w:rPr>
          <w:rFonts w:hint="eastAsia" w:ascii="宋体" w:hAnsi="宋体" w:eastAsia="宋体" w:cs="宋体"/>
          <w:sz w:val="15"/>
          <w:szCs w:val="15"/>
          <w:lang w:val="en-US" w:eastAsia="zh-CN"/>
        </w:rPr>
        <w:t>安徽</w:t>
      </w:r>
      <w:r>
        <w:rPr>
          <w:rFonts w:hint="eastAsia" w:ascii="宋体" w:hAnsi="宋体" w:cs="宋体"/>
          <w:sz w:val="15"/>
          <w:szCs w:val="15"/>
          <w:lang w:val="en-US" w:eastAsia="zh-CN"/>
        </w:rPr>
        <w:t>连营电子科技有限公司</w:t>
      </w:r>
      <w:r>
        <w:rPr>
          <w:rFonts w:hint="eastAsia" w:ascii="宋体" w:hAnsi="宋体" w:eastAsia="宋体" w:cs="宋体"/>
          <w:sz w:val="15"/>
          <w:szCs w:val="15"/>
          <w:lang w:val="en-US" w:eastAsia="zh-CN"/>
        </w:rPr>
        <w:t xml:space="preserve"> </w:t>
      </w:r>
      <w:r>
        <w:rPr>
          <w:rFonts w:hint="eastAsia" w:ascii="宋体" w:hAnsi="宋体" w:cs="宋体"/>
          <w:sz w:val="15"/>
          <w:szCs w:val="15"/>
          <w:lang w:val="en-US" w:eastAsia="zh-CN"/>
        </w:rPr>
        <w:t>行政主管</w:t>
      </w:r>
    </w:p>
    <w:p>
      <w:pPr>
        <w:pStyle w:val="3"/>
        <w:rPr>
          <w:rFonts w:hint="eastAsia" w:ascii="宋体" w:hAnsi="宋体" w:eastAsia="宋体" w:cs="宋体"/>
          <w:sz w:val="15"/>
          <w:szCs w:val="15"/>
          <w:lang w:val="en-US" w:eastAsia="zh-CN"/>
        </w:rPr>
      </w:pPr>
    </w:p>
    <w:p>
      <w:pPr>
        <w:pStyle w:val="3"/>
        <w:rPr>
          <w:rFonts w:hint="eastAsia" w:ascii="宋体" w:hAnsi="宋体" w:eastAsia="宋体" w:cs="宋体"/>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drawing>
          <wp:inline distT="0" distB="0" distL="114300" distR="114300">
            <wp:extent cx="5262245" cy="2148205"/>
            <wp:effectExtent l="0" t="0" r="14605" b="4445"/>
            <wp:docPr id="6" name="图片 6" descr="C:\Users\Administrator\Desktop\图片1.jp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图片1.jpg图片1"/>
                    <pic:cNvPicPr>
                      <a:picLocks noChangeAspect="1"/>
                    </pic:cNvPicPr>
                  </pic:nvPicPr>
                  <pic:blipFill>
                    <a:blip r:embed="rId4"/>
                    <a:srcRect/>
                    <a:stretch>
                      <a:fillRect/>
                    </a:stretch>
                  </pic:blipFill>
                  <pic:spPr>
                    <a:xfrm>
                      <a:off x="0" y="0"/>
                      <a:ext cx="5262245" cy="214820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right="0"/>
        <w:jc w:val="center"/>
        <w:rPr>
          <w:rFonts w:hint="default" w:eastAsia="宋体"/>
          <w:lang w:val="en-US" w:eastAsia="zh-CN"/>
        </w:rPr>
      </w:pPr>
      <w:r>
        <w:rPr>
          <w:rFonts w:hint="eastAsia"/>
          <w:lang w:val="en-US" w:eastAsia="zh-CN"/>
        </w:rPr>
        <w:t xml:space="preserve">图1  </w:t>
      </w:r>
      <w:r>
        <w:rPr>
          <w:rFonts w:hint="eastAsia" w:ascii="楷体" w:hAnsi="楷体" w:eastAsia="楷体" w:cs="楷体"/>
          <w:color w:val="auto"/>
          <w:sz w:val="24"/>
          <w:szCs w:val="24"/>
          <w:lang w:val="en-US" w:eastAsia="zh-CN"/>
        </w:rPr>
        <w:t>某督导室工作人员督导工作完成进度统计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b w:val="0"/>
          <w:bCs/>
          <w:color w:val="auto"/>
          <w:sz w:val="24"/>
          <w:szCs w:val="24"/>
          <w:highlight w:val="none"/>
          <w:shd w:val="clear" w:color="auto" w:fill="auto"/>
          <w:lang w:val="en-US" w:eastAsia="zh-CN"/>
        </w:rPr>
      </w:pPr>
      <w:r>
        <w:rPr>
          <w:rFonts w:hint="eastAsia" w:ascii="楷体" w:hAnsi="楷体" w:eastAsia="楷体" w:cs="楷体"/>
          <w:b w:val="0"/>
          <w:bCs/>
          <w:color w:val="auto"/>
          <w:sz w:val="24"/>
          <w:szCs w:val="24"/>
          <w:highlight w:val="none"/>
          <w:shd w:val="clear" w:color="auto" w:fill="auto"/>
          <w:lang w:val="en-US" w:eastAsia="zh-CN"/>
        </w:rPr>
        <w:drawing>
          <wp:inline distT="0" distB="0" distL="114300" distR="114300">
            <wp:extent cx="5274310" cy="1242060"/>
            <wp:effectExtent l="0" t="0" r="2540" b="15240"/>
            <wp:docPr id="7" name="图片 7" descr="C:\Users\Administrator\Desktop\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图片2.jpg图片2"/>
                    <pic:cNvPicPr>
                      <a:picLocks noChangeAspect="1"/>
                    </pic:cNvPicPr>
                  </pic:nvPicPr>
                  <pic:blipFill>
                    <a:blip r:embed="rId5"/>
                    <a:srcRect/>
                    <a:stretch>
                      <a:fillRect/>
                    </a:stretch>
                  </pic:blipFill>
                  <pic:spPr>
                    <a:xfrm>
                      <a:off x="0" y="0"/>
                      <a:ext cx="5274310" cy="124206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right="0"/>
        <w:jc w:val="center"/>
        <w:rPr>
          <w:rFonts w:hint="eastAsia" w:ascii="楷体" w:hAnsi="楷体" w:eastAsia="楷体" w:cs="楷体"/>
          <w:b w:val="0"/>
          <w:bCs/>
          <w:color w:val="auto"/>
          <w:sz w:val="24"/>
          <w:szCs w:val="24"/>
          <w:highlight w:val="none"/>
          <w:shd w:val="clear" w:color="auto" w:fill="auto"/>
          <w:lang w:val="en-US" w:eastAsia="zh-CN"/>
        </w:rPr>
      </w:pPr>
      <w:r>
        <w:rPr>
          <w:rFonts w:hint="eastAsia" w:ascii="楷体" w:hAnsi="楷体" w:eastAsia="楷体" w:cs="楷体"/>
          <w:b w:val="0"/>
          <w:bCs/>
          <w:color w:val="auto"/>
          <w:sz w:val="24"/>
          <w:szCs w:val="24"/>
          <w:highlight w:val="none"/>
          <w:shd w:val="clear" w:color="auto" w:fill="auto"/>
          <w:lang w:val="en-US" w:eastAsia="zh-CN"/>
        </w:rPr>
        <w:t>表1  某</w:t>
      </w:r>
      <w:r>
        <w:rPr>
          <w:rFonts w:hint="eastAsia" w:ascii="楷体" w:hAnsi="楷体" w:eastAsia="楷体" w:cs="楷体"/>
          <w:color w:val="auto"/>
          <w:sz w:val="24"/>
          <w:szCs w:val="24"/>
          <w:lang w:val="en-US" w:eastAsia="zh-CN"/>
        </w:rPr>
        <w:t>督导工作人员督导任务完成的百分比情况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rPr>
      </w:pPr>
      <w:r>
        <w:rPr>
          <w:rFonts w:hint="eastAsia" w:ascii="楷体" w:hAnsi="楷体" w:eastAsia="楷体" w:cs="楷体"/>
          <w:color w:val="auto"/>
          <w:sz w:val="24"/>
          <w:szCs w:val="24"/>
          <w:lang w:val="en-US" w:eastAsia="zh-CN"/>
        </w:rPr>
        <w:t>2,</w:t>
      </w:r>
      <w:r>
        <w:rPr>
          <w:rFonts w:hint="eastAsia" w:ascii="楷体" w:hAnsi="楷体" w:eastAsia="楷体" w:cs="楷体"/>
          <w:b/>
          <w:bCs/>
          <w:color w:val="auto"/>
          <w:sz w:val="24"/>
          <w:szCs w:val="24"/>
          <w:lang w:val="en-US" w:eastAsia="zh-CN"/>
        </w:rPr>
        <w:t>督学云服务，坚持对学区、学校各项工作及时有效监督与指导，传达最新的教育方针与安排</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rPr>
        <w:t>教育督导的主要范围是普通中小学教育、幼儿教育及其他有关的教育工作。现阶段教育督导工作的重点是九年义务教育</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lang w:val="en-US" w:eastAsia="zh-CN"/>
        </w:rPr>
        <w:t>该平台根据国家相关方针政策的指导针，对各辖区内的所有中小学以及幼儿园进行教学督导，监督指导工作。当各个学区、学校接收到了教育部门的相关督导工作指示，按照工作要求与规范完成指定的工作任务，并提交给督导室审批；具体教学督导的功能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1：平台内注册督导个人账户，完成初始账户信息的录入;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2：查看管辖区域所有督导发布的工作计划与内容;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3：划分责任督导任务的工作内容到具体责任人（授权）;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4：责任人按督导任务要求完成任务；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5: 检查工作汇报和工作流程并将完成内容提交给教育局督导室机构；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6: 搭建督导移动端设备，在云平台的基础上，搭建一个移动的督导工作平台，方便移动办公和随时处理督导事务；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drawing>
          <wp:inline distT="0" distB="0" distL="114300" distR="114300">
            <wp:extent cx="5266055" cy="440690"/>
            <wp:effectExtent l="0" t="0" r="10795" b="16510"/>
            <wp:docPr id="9" name="图片 9" descr="C:\Users\Administrator\Desktop\图片4.jp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图片4.jpg图片4"/>
                    <pic:cNvPicPr>
                      <a:picLocks noChangeAspect="1"/>
                    </pic:cNvPicPr>
                  </pic:nvPicPr>
                  <pic:blipFill>
                    <a:blip r:embed="rId6"/>
                    <a:srcRect/>
                    <a:stretch>
                      <a:fillRect/>
                    </a:stretch>
                  </pic:blipFill>
                  <pic:spPr>
                    <a:xfrm>
                      <a:off x="0" y="0"/>
                      <a:ext cx="5266055" cy="440690"/>
                    </a:xfrm>
                    <a:prstGeom prst="rect">
                      <a:avLst/>
                    </a:prstGeom>
                  </pic:spPr>
                </pic:pic>
              </a:graphicData>
            </a:graphic>
          </wp:inline>
        </w:drawing>
      </w:r>
    </w:p>
    <w:p>
      <w:pPr>
        <w:ind w:firstLine="1680" w:firstLineChars="700"/>
        <w:rPr>
          <w:rFonts w:hint="eastAsia" w:ascii="楷体" w:hAnsi="楷体" w:eastAsia="楷体" w:cs="楷体"/>
          <w:color w:val="auto"/>
          <w:sz w:val="24"/>
          <w:szCs w:val="24"/>
          <w:lang w:val="en-US" w:eastAsia="zh-CN"/>
        </w:rPr>
      </w:pPr>
    </w:p>
    <w:p>
      <w:pPr>
        <w:ind w:firstLine="1680" w:firstLineChars="70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图2  某教学督导任务指标参考</w:t>
      </w:r>
    </w:p>
    <w:p>
      <w:pPr>
        <w:ind w:firstLine="1680" w:firstLineChars="700"/>
        <w:rPr>
          <w:rFonts w:hint="eastAsia" w:ascii="楷体" w:hAnsi="楷体" w:eastAsia="楷体" w:cs="楷体"/>
          <w:color w:val="auto"/>
          <w:sz w:val="24"/>
          <w:szCs w:val="24"/>
          <w:lang w:val="en-US" w:eastAsia="zh-CN"/>
        </w:rPr>
      </w:pPr>
    </w:p>
    <w:p>
      <w:pPr>
        <w:ind w:firstLine="1680" w:firstLineChars="700"/>
        <w:rPr>
          <w:rFonts w:hint="eastAsia" w:ascii="楷体" w:hAnsi="楷体" w:eastAsia="楷体" w:cs="楷体"/>
          <w:color w:val="auto"/>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drawing>
          <wp:inline distT="0" distB="0" distL="114300" distR="114300">
            <wp:extent cx="5243830" cy="2124710"/>
            <wp:effectExtent l="12700" t="0" r="20320" b="15240"/>
            <wp:docPr id="8" name="图片 8" descr="C:\Users\Uetec\Desktop\图片5.jp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Uetec\Desktop\图片5.jpg图片5"/>
                    <pic:cNvPicPr>
                      <a:picLocks noChangeAspect="1"/>
                    </pic:cNvPicPr>
                  </pic:nvPicPr>
                  <pic:blipFill>
                    <a:blip r:embed="rId7"/>
                    <a:srcRect/>
                    <a:stretch>
                      <a:fillRect/>
                    </a:stretch>
                  </pic:blipFill>
                  <pic:spPr>
                    <a:xfrm>
                      <a:off x="0" y="0"/>
                      <a:ext cx="5243830" cy="2124710"/>
                    </a:xfrm>
                    <a:prstGeom prst="rect">
                      <a:avLst/>
                    </a:prstGeom>
                    <a:ln w="12700">
                      <a:solidFill>
                        <a:schemeClr val="tx1">
                          <a:alpha val="0"/>
                        </a:schemeClr>
                      </a:solidFill>
                    </a:ln>
                  </pic:spPr>
                </pic:pic>
              </a:graphicData>
            </a:graphic>
          </wp:inline>
        </w:drawing>
      </w:r>
    </w:p>
    <w:p>
      <w:pPr>
        <w:ind w:firstLine="1680" w:firstLineChars="700"/>
        <w:rPr>
          <w:rFonts w:hint="eastAsia" w:ascii="楷体" w:hAnsi="楷体" w:eastAsia="楷体" w:cs="楷体"/>
          <w:color w:val="auto"/>
          <w:sz w:val="24"/>
          <w:szCs w:val="24"/>
          <w:lang w:val="en-US" w:eastAsia="zh-CN"/>
        </w:rPr>
      </w:pPr>
    </w:p>
    <w:p>
      <w:pPr>
        <w:ind w:firstLine="1680" w:firstLineChars="700"/>
        <w:rPr>
          <w:rFonts w:hint="default"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图3  某教学督导任务指标项参考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rPr>
          <w:rFonts w:hint="eastAsia" w:ascii="楷体" w:hAnsi="楷体" w:eastAsia="楷体" w:cs="楷体"/>
          <w:color w:val="auto"/>
          <w:sz w:val="24"/>
          <w:szCs w:val="24"/>
          <w:lang w:val="en-US" w:eastAsia="zh-CN"/>
        </w:rPr>
      </w:pPr>
    </w:p>
    <w:p>
      <w:pPr>
        <w:rPr>
          <w:rFonts w:hint="eastAsia" w:ascii="楷体" w:hAnsi="楷体" w:eastAsia="楷体" w:cs="楷体"/>
          <w:color w:val="auto"/>
          <w:sz w:val="24"/>
          <w:szCs w:val="24"/>
          <w:lang w:val="en-US" w:eastAsia="zh-CN"/>
        </w:rPr>
      </w:pPr>
      <w:r>
        <w:rPr>
          <w:rFonts w:hint="eastAsia" w:ascii="楷体" w:hAnsi="楷体" w:eastAsia="楷体" w:cs="楷体"/>
          <w:b/>
          <w:bCs/>
          <w:color w:val="auto"/>
          <w:sz w:val="24"/>
          <w:szCs w:val="24"/>
          <w:lang w:val="en-US" w:eastAsia="zh-CN"/>
        </w:rPr>
        <w:t>3，评估监测-智慧督导大数据</w:t>
      </w:r>
    </w:p>
    <w:p>
      <w:pPr>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随着信息化和网络技术的发展,应运而来的大数据为教学督导工作内容和方法的创新创设了条件,为教学督导工作的开展带来了新的机遇。大数据本身的特征为教学督导工作提供了新的思路和方法,深刻影响着教学督导工作的创新与发展。运用大数据技术,从教学角度、学生角度、管理角度提升教学督导的质量,成为新时期教学督导工作创新的可选之路。大数据技术的广泛应用,在大数据驱动下,教学行为和学习行为均产生了不同程度变化,教学督导工作也随之变革.从大数据背景下教育教学行为的新趋势,分析教学督导工作的新特征,阐明教学督导工作的新意义,提出大数据背景下做好教学督导工作的路径，智慧督导云平台服务为适应这一新的趋势前景，提供了直观的监控管理的大数据服务。</w:t>
      </w:r>
    </w:p>
    <w:p>
      <w:pPr>
        <w:rPr>
          <w:rFonts w:hint="eastAsia" w:ascii="楷体" w:hAnsi="楷体" w:eastAsia="楷体" w:cs="楷体"/>
          <w:color w:val="auto"/>
          <w:sz w:val="24"/>
          <w:szCs w:val="24"/>
          <w:lang w:eastAsia="zh-CN"/>
        </w:rPr>
      </w:pPr>
      <w:r>
        <w:rPr>
          <w:rFonts w:hint="eastAsia" w:ascii="楷体" w:hAnsi="楷体" w:eastAsia="楷体" w:cs="楷体"/>
          <w:color w:val="auto"/>
          <w:sz w:val="24"/>
          <w:szCs w:val="24"/>
          <w:lang w:eastAsia="zh-CN"/>
        </w:rPr>
        <w:drawing>
          <wp:inline distT="0" distB="0" distL="114300" distR="114300">
            <wp:extent cx="5257800" cy="2658745"/>
            <wp:effectExtent l="0" t="0" r="0" b="8255"/>
            <wp:docPr id="10" name="图片 10" descr="C:\Users\Administrator\Desktop\图片3.jp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3.jpg图片3"/>
                    <pic:cNvPicPr>
                      <a:picLocks noChangeAspect="1"/>
                    </pic:cNvPicPr>
                  </pic:nvPicPr>
                  <pic:blipFill>
                    <a:blip r:embed="rId8"/>
                    <a:srcRect/>
                    <a:stretch>
                      <a:fillRect/>
                    </a:stretch>
                  </pic:blipFill>
                  <pic:spPr>
                    <a:xfrm>
                      <a:off x="0" y="0"/>
                      <a:ext cx="5257800" cy="2658745"/>
                    </a:xfrm>
                    <a:prstGeom prst="rect">
                      <a:avLst/>
                    </a:prstGeom>
                  </pic:spPr>
                </pic:pic>
              </a:graphicData>
            </a:graphic>
          </wp:inline>
        </w:drawing>
      </w:r>
    </w:p>
    <w:p>
      <w:pPr>
        <w:rPr>
          <w:rFonts w:hint="eastAsia" w:ascii="楷体" w:hAnsi="楷体" w:eastAsia="楷体" w:cs="楷体"/>
          <w:color w:val="auto"/>
          <w:sz w:val="24"/>
          <w:szCs w:val="24"/>
        </w:rPr>
      </w:pPr>
      <w:r>
        <w:rPr>
          <w:rFonts w:hint="eastAsia"/>
          <w:lang w:val="en-US" w:eastAsia="zh-CN"/>
        </w:rPr>
        <w:t xml:space="preserve">        </w:t>
      </w:r>
    </w:p>
    <w:p>
      <w:pPr>
        <w:ind w:firstLine="1680" w:firstLineChars="700"/>
        <w:rPr>
          <w:rFonts w:hint="default"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图4  某平台智慧督导大数据参考</w:t>
      </w:r>
    </w:p>
    <w:p>
      <w:pPr>
        <w:rPr>
          <w:rFonts w:hint="eastAsia" w:ascii="黑体" w:hAnsi="黑体" w:eastAsia="黑体"/>
          <w:sz w:val="18"/>
          <w:szCs w:val="18"/>
        </w:rPr>
      </w:pPr>
    </w:p>
    <w:p>
      <w:pPr>
        <w:rPr>
          <w:rFonts w:hint="eastAsia" w:ascii="黑体" w:hAnsi="黑体" w:eastAsia="黑体"/>
          <w:sz w:val="18"/>
          <w:szCs w:val="18"/>
        </w:rPr>
      </w:pPr>
    </w:p>
    <w:p>
      <w:pPr>
        <w:rPr>
          <w:rFonts w:ascii="黑体" w:hAnsi="黑体" w:eastAsia="黑体"/>
          <w:sz w:val="18"/>
          <w:szCs w:val="18"/>
        </w:rPr>
      </w:pPr>
      <w:r>
        <w:rPr>
          <w:rFonts w:hint="eastAsia" w:ascii="黑体" w:hAnsi="黑体" w:eastAsia="黑体"/>
          <w:sz w:val="18"/>
          <w:szCs w:val="18"/>
        </w:rPr>
        <w:t>参考文献</w:t>
      </w:r>
    </w:p>
    <w:p>
      <w:pPr>
        <w:pStyle w:val="9"/>
        <w:numPr>
          <w:ilvl w:val="0"/>
          <w:numId w:val="1"/>
        </w:numPr>
        <w:ind w:firstLineChars="0"/>
        <w:jc w:val="left"/>
        <w:rPr>
          <w:sz w:val="18"/>
          <w:szCs w:val="18"/>
        </w:rPr>
      </w:pPr>
      <w:r>
        <w:rPr>
          <w:rFonts w:hint="eastAsia" w:ascii="楷体" w:hAnsi="楷体" w:eastAsia="楷体" w:cs="楷体"/>
          <w:color w:val="auto"/>
          <w:sz w:val="18"/>
          <w:szCs w:val="18"/>
        </w:rPr>
        <w:t>督导过程中如何回应学校的督导需求.李玉娟，2012全国教育督导研究协作会第十八届年会</w:t>
      </w:r>
    </w:p>
    <w:p>
      <w:pPr>
        <w:pStyle w:val="9"/>
        <w:numPr>
          <w:ilvl w:val="0"/>
          <w:numId w:val="1"/>
        </w:numPr>
        <w:ind w:firstLineChars="0"/>
        <w:jc w:val="left"/>
        <w:rPr>
          <w:sz w:val="18"/>
          <w:szCs w:val="18"/>
        </w:rPr>
      </w:pPr>
      <w:r>
        <w:rPr>
          <w:rFonts w:hint="eastAsia" w:ascii="楷体" w:hAnsi="楷体" w:eastAsia="楷体" w:cs="楷体"/>
          <w:color w:val="auto"/>
          <w:sz w:val="18"/>
          <w:szCs w:val="18"/>
          <w:lang w:val="en-US" w:eastAsia="zh-CN"/>
        </w:rPr>
        <w:t>完善督导评估机制,深化教育督导功能,增强学校发展意识优化学校办学绩效评估与学校发展性综合督导之间的关系.杨欢琴，2012全国教育督导研究协作会第十八届年会</w:t>
      </w:r>
    </w:p>
    <w:p>
      <w:pPr>
        <w:pStyle w:val="9"/>
        <w:numPr>
          <w:ilvl w:val="0"/>
          <w:numId w:val="1"/>
        </w:numPr>
        <w:ind w:firstLineChars="0"/>
        <w:jc w:val="left"/>
        <w:rPr>
          <w:sz w:val="18"/>
          <w:szCs w:val="18"/>
        </w:rPr>
      </w:pPr>
      <w:r>
        <w:rPr>
          <w:rFonts w:hint="eastAsia" w:ascii="楷体" w:hAnsi="楷体" w:eastAsia="楷体" w:cs="楷体"/>
          <w:color w:val="auto"/>
          <w:sz w:val="18"/>
          <w:szCs w:val="18"/>
          <w:lang w:val="en-US" w:eastAsia="zh-CN"/>
        </w:rPr>
        <w:t>推进高中督导队伍建设,提高督导工作水平.杜荣贞.闵晓琳，2012全国教育督导研究协作会第十八届年会</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523DC"/>
    <w:multiLevelType w:val="multilevel"/>
    <w:tmpl w:val="656523DC"/>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F134E"/>
    <w:rsid w:val="0090793B"/>
    <w:rsid w:val="00F7068B"/>
    <w:rsid w:val="016B7A1F"/>
    <w:rsid w:val="02043332"/>
    <w:rsid w:val="02096157"/>
    <w:rsid w:val="02160E78"/>
    <w:rsid w:val="022F0B8C"/>
    <w:rsid w:val="0233035A"/>
    <w:rsid w:val="0272733C"/>
    <w:rsid w:val="03EE4114"/>
    <w:rsid w:val="040F38CE"/>
    <w:rsid w:val="04376B2F"/>
    <w:rsid w:val="04B06420"/>
    <w:rsid w:val="04F944D2"/>
    <w:rsid w:val="05E55489"/>
    <w:rsid w:val="05E73D17"/>
    <w:rsid w:val="0635686C"/>
    <w:rsid w:val="073461AA"/>
    <w:rsid w:val="07824D7D"/>
    <w:rsid w:val="07B116B0"/>
    <w:rsid w:val="07D600E7"/>
    <w:rsid w:val="07E80269"/>
    <w:rsid w:val="09080A67"/>
    <w:rsid w:val="092F5445"/>
    <w:rsid w:val="09452276"/>
    <w:rsid w:val="0AD87A86"/>
    <w:rsid w:val="0B073DEA"/>
    <w:rsid w:val="0B28691C"/>
    <w:rsid w:val="0B3D6682"/>
    <w:rsid w:val="0B6C54BE"/>
    <w:rsid w:val="0C4925AE"/>
    <w:rsid w:val="0DCC114C"/>
    <w:rsid w:val="0DFC15AD"/>
    <w:rsid w:val="0E031487"/>
    <w:rsid w:val="0E6E00E0"/>
    <w:rsid w:val="0EA467D3"/>
    <w:rsid w:val="0F7F4A68"/>
    <w:rsid w:val="0F977F3B"/>
    <w:rsid w:val="10A431F5"/>
    <w:rsid w:val="10B7660D"/>
    <w:rsid w:val="112910F9"/>
    <w:rsid w:val="11743314"/>
    <w:rsid w:val="11C44284"/>
    <w:rsid w:val="11EB0758"/>
    <w:rsid w:val="127277D9"/>
    <w:rsid w:val="13045694"/>
    <w:rsid w:val="13DD7133"/>
    <w:rsid w:val="13EE5B7E"/>
    <w:rsid w:val="14355D8B"/>
    <w:rsid w:val="144017E1"/>
    <w:rsid w:val="14C633E3"/>
    <w:rsid w:val="152310A0"/>
    <w:rsid w:val="153945FF"/>
    <w:rsid w:val="16326867"/>
    <w:rsid w:val="166C530B"/>
    <w:rsid w:val="16D664A4"/>
    <w:rsid w:val="17322E85"/>
    <w:rsid w:val="178E344B"/>
    <w:rsid w:val="17B639A2"/>
    <w:rsid w:val="18095E7A"/>
    <w:rsid w:val="18292EAC"/>
    <w:rsid w:val="18354E0B"/>
    <w:rsid w:val="18716A96"/>
    <w:rsid w:val="18E40E9B"/>
    <w:rsid w:val="197C2E09"/>
    <w:rsid w:val="19AE62AA"/>
    <w:rsid w:val="19F633FD"/>
    <w:rsid w:val="1A213E01"/>
    <w:rsid w:val="1A413725"/>
    <w:rsid w:val="1A772037"/>
    <w:rsid w:val="1AD978F1"/>
    <w:rsid w:val="1AE9429E"/>
    <w:rsid w:val="1B3B0A83"/>
    <w:rsid w:val="1B461B07"/>
    <w:rsid w:val="1C5778C1"/>
    <w:rsid w:val="1CB319CA"/>
    <w:rsid w:val="1CB36A76"/>
    <w:rsid w:val="1D9A7E09"/>
    <w:rsid w:val="1DEB3076"/>
    <w:rsid w:val="1E326EFB"/>
    <w:rsid w:val="1EE32D8D"/>
    <w:rsid w:val="1EF35507"/>
    <w:rsid w:val="1F112BC4"/>
    <w:rsid w:val="1F2A38E3"/>
    <w:rsid w:val="1F4A0535"/>
    <w:rsid w:val="203A70B3"/>
    <w:rsid w:val="20763A1E"/>
    <w:rsid w:val="20A134CB"/>
    <w:rsid w:val="20BF0CC5"/>
    <w:rsid w:val="20D224D5"/>
    <w:rsid w:val="213E7A2F"/>
    <w:rsid w:val="2148643C"/>
    <w:rsid w:val="220B046C"/>
    <w:rsid w:val="22172A92"/>
    <w:rsid w:val="22524CAF"/>
    <w:rsid w:val="237B2CCE"/>
    <w:rsid w:val="23AF7ECB"/>
    <w:rsid w:val="241D2043"/>
    <w:rsid w:val="24575532"/>
    <w:rsid w:val="24840FD8"/>
    <w:rsid w:val="24BE42A3"/>
    <w:rsid w:val="24EB03CA"/>
    <w:rsid w:val="251A59BC"/>
    <w:rsid w:val="258816E8"/>
    <w:rsid w:val="25964EA6"/>
    <w:rsid w:val="26334B6B"/>
    <w:rsid w:val="267F71E2"/>
    <w:rsid w:val="269D5639"/>
    <w:rsid w:val="269F45CD"/>
    <w:rsid w:val="26C73E71"/>
    <w:rsid w:val="26EB6DF5"/>
    <w:rsid w:val="275F2DDE"/>
    <w:rsid w:val="27664593"/>
    <w:rsid w:val="27B02C37"/>
    <w:rsid w:val="27C65F30"/>
    <w:rsid w:val="28595B61"/>
    <w:rsid w:val="28CB1A1D"/>
    <w:rsid w:val="28CB5E96"/>
    <w:rsid w:val="29426F06"/>
    <w:rsid w:val="29AF291A"/>
    <w:rsid w:val="29C924CD"/>
    <w:rsid w:val="2A3366A8"/>
    <w:rsid w:val="2A556EAB"/>
    <w:rsid w:val="2A6B5DE8"/>
    <w:rsid w:val="2AA64835"/>
    <w:rsid w:val="2ABA45B0"/>
    <w:rsid w:val="2B3D59FC"/>
    <w:rsid w:val="2B6654DB"/>
    <w:rsid w:val="2BF21D5D"/>
    <w:rsid w:val="2C2848DC"/>
    <w:rsid w:val="2C3F12F6"/>
    <w:rsid w:val="2C4C4090"/>
    <w:rsid w:val="2C5803F2"/>
    <w:rsid w:val="2D13545F"/>
    <w:rsid w:val="2E640F8B"/>
    <w:rsid w:val="2EA47F73"/>
    <w:rsid w:val="2EAF134E"/>
    <w:rsid w:val="2EB560C4"/>
    <w:rsid w:val="2F336FD4"/>
    <w:rsid w:val="2F3B6314"/>
    <w:rsid w:val="2F3D15A4"/>
    <w:rsid w:val="2F7430E5"/>
    <w:rsid w:val="2FD61D2F"/>
    <w:rsid w:val="2FF82A53"/>
    <w:rsid w:val="30E9359B"/>
    <w:rsid w:val="31000821"/>
    <w:rsid w:val="31045C36"/>
    <w:rsid w:val="31404887"/>
    <w:rsid w:val="330A4627"/>
    <w:rsid w:val="33520661"/>
    <w:rsid w:val="33F91843"/>
    <w:rsid w:val="344121F3"/>
    <w:rsid w:val="34635D58"/>
    <w:rsid w:val="346F7500"/>
    <w:rsid w:val="34981498"/>
    <w:rsid w:val="349A04AA"/>
    <w:rsid w:val="34EB0591"/>
    <w:rsid w:val="35490F14"/>
    <w:rsid w:val="364632CF"/>
    <w:rsid w:val="369324A8"/>
    <w:rsid w:val="36E62BEC"/>
    <w:rsid w:val="37081D2E"/>
    <w:rsid w:val="3777723B"/>
    <w:rsid w:val="37BC222C"/>
    <w:rsid w:val="380232E5"/>
    <w:rsid w:val="38553DC0"/>
    <w:rsid w:val="38691A7E"/>
    <w:rsid w:val="38B92860"/>
    <w:rsid w:val="38CB55A8"/>
    <w:rsid w:val="393161B3"/>
    <w:rsid w:val="39AD1A8C"/>
    <w:rsid w:val="39C508F3"/>
    <w:rsid w:val="39C7724A"/>
    <w:rsid w:val="3A297AA4"/>
    <w:rsid w:val="3A936028"/>
    <w:rsid w:val="3A9422CB"/>
    <w:rsid w:val="3AF6109A"/>
    <w:rsid w:val="3B403CF0"/>
    <w:rsid w:val="3B6F0B88"/>
    <w:rsid w:val="3B7F11B6"/>
    <w:rsid w:val="3BB27CAD"/>
    <w:rsid w:val="3BD77E3F"/>
    <w:rsid w:val="3C1078FB"/>
    <w:rsid w:val="3C2B3CDD"/>
    <w:rsid w:val="3CB06B9B"/>
    <w:rsid w:val="3CCD684B"/>
    <w:rsid w:val="3D1258DE"/>
    <w:rsid w:val="3D277BC1"/>
    <w:rsid w:val="3DB93188"/>
    <w:rsid w:val="3DDA6CF0"/>
    <w:rsid w:val="3E43001D"/>
    <w:rsid w:val="3E7A2D6E"/>
    <w:rsid w:val="3E7C750F"/>
    <w:rsid w:val="3E8E0FA6"/>
    <w:rsid w:val="3EC76BA0"/>
    <w:rsid w:val="3F16110E"/>
    <w:rsid w:val="3F432EF6"/>
    <w:rsid w:val="3FE31B98"/>
    <w:rsid w:val="401643D5"/>
    <w:rsid w:val="407C43D7"/>
    <w:rsid w:val="4092193C"/>
    <w:rsid w:val="409C7BFC"/>
    <w:rsid w:val="411A4BC0"/>
    <w:rsid w:val="411E4AFB"/>
    <w:rsid w:val="418939C4"/>
    <w:rsid w:val="419630EC"/>
    <w:rsid w:val="41AC1F60"/>
    <w:rsid w:val="41FA0133"/>
    <w:rsid w:val="424757F8"/>
    <w:rsid w:val="4262637C"/>
    <w:rsid w:val="42641F6F"/>
    <w:rsid w:val="42A9754E"/>
    <w:rsid w:val="43607636"/>
    <w:rsid w:val="4376639D"/>
    <w:rsid w:val="43913D2B"/>
    <w:rsid w:val="43F21094"/>
    <w:rsid w:val="449164E5"/>
    <w:rsid w:val="45011B5F"/>
    <w:rsid w:val="450416F1"/>
    <w:rsid w:val="457C383E"/>
    <w:rsid w:val="459C23B0"/>
    <w:rsid w:val="463B1B05"/>
    <w:rsid w:val="464D05A9"/>
    <w:rsid w:val="468440D3"/>
    <w:rsid w:val="468C2E48"/>
    <w:rsid w:val="46EE1448"/>
    <w:rsid w:val="473F08F8"/>
    <w:rsid w:val="47832F3A"/>
    <w:rsid w:val="47DA261E"/>
    <w:rsid w:val="47DE030C"/>
    <w:rsid w:val="48301C87"/>
    <w:rsid w:val="49D7633A"/>
    <w:rsid w:val="4A0A0E78"/>
    <w:rsid w:val="4AF12131"/>
    <w:rsid w:val="4B545A06"/>
    <w:rsid w:val="4B58075A"/>
    <w:rsid w:val="4BA25EB1"/>
    <w:rsid w:val="4BB70983"/>
    <w:rsid w:val="4C916EAB"/>
    <w:rsid w:val="4CFF13AD"/>
    <w:rsid w:val="4D016ED9"/>
    <w:rsid w:val="4D7E74F4"/>
    <w:rsid w:val="4D9D218B"/>
    <w:rsid w:val="4E922E17"/>
    <w:rsid w:val="4EF02FF3"/>
    <w:rsid w:val="4EFE5C04"/>
    <w:rsid w:val="4F1A0592"/>
    <w:rsid w:val="4F621D0F"/>
    <w:rsid w:val="4F705B88"/>
    <w:rsid w:val="4FAC5BBC"/>
    <w:rsid w:val="500E4763"/>
    <w:rsid w:val="5156637F"/>
    <w:rsid w:val="51672EC3"/>
    <w:rsid w:val="51FA0C6E"/>
    <w:rsid w:val="52536C14"/>
    <w:rsid w:val="5284293E"/>
    <w:rsid w:val="536419C5"/>
    <w:rsid w:val="536F4E71"/>
    <w:rsid w:val="53BE70F2"/>
    <w:rsid w:val="53E6268A"/>
    <w:rsid w:val="540519CE"/>
    <w:rsid w:val="545B476D"/>
    <w:rsid w:val="5525737E"/>
    <w:rsid w:val="55527AFB"/>
    <w:rsid w:val="558644E9"/>
    <w:rsid w:val="560F13F7"/>
    <w:rsid w:val="560F518E"/>
    <w:rsid w:val="56B93EC4"/>
    <w:rsid w:val="56E87763"/>
    <w:rsid w:val="576C64FA"/>
    <w:rsid w:val="58065701"/>
    <w:rsid w:val="580D3DF8"/>
    <w:rsid w:val="594B4F4C"/>
    <w:rsid w:val="59671E68"/>
    <w:rsid w:val="598C0060"/>
    <w:rsid w:val="59B719EC"/>
    <w:rsid w:val="59EA394F"/>
    <w:rsid w:val="5A4E74F3"/>
    <w:rsid w:val="5A563143"/>
    <w:rsid w:val="5A601C29"/>
    <w:rsid w:val="5B74103D"/>
    <w:rsid w:val="5BAA1D22"/>
    <w:rsid w:val="5C1A121E"/>
    <w:rsid w:val="5D1A4EBB"/>
    <w:rsid w:val="5D333C93"/>
    <w:rsid w:val="5D663666"/>
    <w:rsid w:val="5DAD5B26"/>
    <w:rsid w:val="5DC51267"/>
    <w:rsid w:val="5E5A7950"/>
    <w:rsid w:val="5EBE6888"/>
    <w:rsid w:val="5FC02137"/>
    <w:rsid w:val="607535F2"/>
    <w:rsid w:val="609E6BEB"/>
    <w:rsid w:val="60A668DF"/>
    <w:rsid w:val="60A81118"/>
    <w:rsid w:val="60F763E5"/>
    <w:rsid w:val="61A53BB5"/>
    <w:rsid w:val="629E17FF"/>
    <w:rsid w:val="62B8262A"/>
    <w:rsid w:val="63141FAA"/>
    <w:rsid w:val="633B465E"/>
    <w:rsid w:val="63484C19"/>
    <w:rsid w:val="63A335A6"/>
    <w:rsid w:val="63BF354E"/>
    <w:rsid w:val="642D1106"/>
    <w:rsid w:val="64EF4294"/>
    <w:rsid w:val="65900E7D"/>
    <w:rsid w:val="65D70FF3"/>
    <w:rsid w:val="662713D9"/>
    <w:rsid w:val="66296205"/>
    <w:rsid w:val="666542FB"/>
    <w:rsid w:val="66FA18DE"/>
    <w:rsid w:val="672A05BB"/>
    <w:rsid w:val="67390DDD"/>
    <w:rsid w:val="6740220A"/>
    <w:rsid w:val="675314F2"/>
    <w:rsid w:val="6784345E"/>
    <w:rsid w:val="67867ABD"/>
    <w:rsid w:val="67A160AB"/>
    <w:rsid w:val="68095A72"/>
    <w:rsid w:val="68817F34"/>
    <w:rsid w:val="68D354EC"/>
    <w:rsid w:val="68F43C49"/>
    <w:rsid w:val="690A3121"/>
    <w:rsid w:val="69882623"/>
    <w:rsid w:val="69C61E86"/>
    <w:rsid w:val="69E25C36"/>
    <w:rsid w:val="69F615F6"/>
    <w:rsid w:val="6A0B10A6"/>
    <w:rsid w:val="6A2F015D"/>
    <w:rsid w:val="6B046A9F"/>
    <w:rsid w:val="6B9E7BAA"/>
    <w:rsid w:val="6BC75B91"/>
    <w:rsid w:val="6BD113FC"/>
    <w:rsid w:val="6C6B576F"/>
    <w:rsid w:val="6CA06216"/>
    <w:rsid w:val="6CC80C88"/>
    <w:rsid w:val="6D0008E1"/>
    <w:rsid w:val="6D086DDA"/>
    <w:rsid w:val="6D9D7FFA"/>
    <w:rsid w:val="6DBA6DB5"/>
    <w:rsid w:val="6DD60D21"/>
    <w:rsid w:val="6DDD353C"/>
    <w:rsid w:val="6E011778"/>
    <w:rsid w:val="6E1F43D3"/>
    <w:rsid w:val="6E735145"/>
    <w:rsid w:val="6EBD7B16"/>
    <w:rsid w:val="6F427E9B"/>
    <w:rsid w:val="6F4731AA"/>
    <w:rsid w:val="6F534FB1"/>
    <w:rsid w:val="6F70192A"/>
    <w:rsid w:val="6F8230C8"/>
    <w:rsid w:val="6F9B679A"/>
    <w:rsid w:val="6FC84735"/>
    <w:rsid w:val="6FE0219F"/>
    <w:rsid w:val="6FF2112C"/>
    <w:rsid w:val="6FF969CA"/>
    <w:rsid w:val="70223ADA"/>
    <w:rsid w:val="708B3F67"/>
    <w:rsid w:val="70B63291"/>
    <w:rsid w:val="716442B7"/>
    <w:rsid w:val="71956737"/>
    <w:rsid w:val="719978B0"/>
    <w:rsid w:val="71D121C1"/>
    <w:rsid w:val="71E93F21"/>
    <w:rsid w:val="722F274B"/>
    <w:rsid w:val="73215B82"/>
    <w:rsid w:val="73470550"/>
    <w:rsid w:val="73E82993"/>
    <w:rsid w:val="73ED2FEB"/>
    <w:rsid w:val="73F9191B"/>
    <w:rsid w:val="743B190D"/>
    <w:rsid w:val="7445755F"/>
    <w:rsid w:val="74CB2ACE"/>
    <w:rsid w:val="752B6502"/>
    <w:rsid w:val="75D056F4"/>
    <w:rsid w:val="76956D40"/>
    <w:rsid w:val="76AE6D69"/>
    <w:rsid w:val="76B25035"/>
    <w:rsid w:val="76D32A74"/>
    <w:rsid w:val="77125A1B"/>
    <w:rsid w:val="774742E0"/>
    <w:rsid w:val="774E6897"/>
    <w:rsid w:val="779E236E"/>
    <w:rsid w:val="783E341E"/>
    <w:rsid w:val="784A3D3C"/>
    <w:rsid w:val="784A4A0A"/>
    <w:rsid w:val="784E3155"/>
    <w:rsid w:val="786B03E5"/>
    <w:rsid w:val="78921CA6"/>
    <w:rsid w:val="78E03A70"/>
    <w:rsid w:val="78EE7F23"/>
    <w:rsid w:val="79063DBB"/>
    <w:rsid w:val="793320AA"/>
    <w:rsid w:val="79DD52AC"/>
    <w:rsid w:val="7A065C3F"/>
    <w:rsid w:val="7A14223E"/>
    <w:rsid w:val="7A143C4D"/>
    <w:rsid w:val="7A676021"/>
    <w:rsid w:val="7B1B4E56"/>
    <w:rsid w:val="7B381555"/>
    <w:rsid w:val="7BB146DF"/>
    <w:rsid w:val="7BFC2634"/>
    <w:rsid w:val="7C4B4ED0"/>
    <w:rsid w:val="7C6A49C3"/>
    <w:rsid w:val="7CD81A43"/>
    <w:rsid w:val="7CD84DEC"/>
    <w:rsid w:val="7CF1484E"/>
    <w:rsid w:val="7D532152"/>
    <w:rsid w:val="7D6B36D2"/>
    <w:rsid w:val="7DF92B47"/>
    <w:rsid w:val="7E3D7668"/>
    <w:rsid w:val="7E4842AD"/>
    <w:rsid w:val="7E91441F"/>
    <w:rsid w:val="7E9C7F55"/>
    <w:rsid w:val="7EB93303"/>
    <w:rsid w:val="7EC00052"/>
    <w:rsid w:val="7FAE4730"/>
    <w:rsid w:val="7FD367AF"/>
    <w:rsid w:val="7FD86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note text"/>
    <w:basedOn w:val="1"/>
    <w:qFormat/>
    <w:uiPriority w:val="99"/>
    <w:pPr>
      <w:snapToGrid w:val="0"/>
      <w:jc w:val="left"/>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footnote reference"/>
    <w:basedOn w:val="5"/>
    <w:qFormat/>
    <w:uiPriority w:val="99"/>
    <w:rPr>
      <w:rFonts w:cs="Times New Roman"/>
      <w:vertAlign w:val="superscript"/>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珠海国家高新技术开发区</Company>
  <Pages>1</Pages>
  <Words>0</Words>
  <Characters>0</Characters>
  <Lines>0</Lines>
  <Paragraphs>0</Paragraphs>
  <TotalTime>3</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2020-08-26T02:59:00Z</dcterms:created>
  <dc:creator>Uetec</dc:creator>
  <cp:lastModifiedBy>Uetec</cp:lastModifiedBy>
  <dcterms:modified xsi:type="dcterms:W3CDTF">2020-08-31T06:55:21Z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