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ascii="宋体" w:hAnsi="宋体"/>
          <w:sz w:val="44"/>
          <w:szCs w:val="44"/>
        </w:rPr>
      </w:pPr>
      <w:r>
        <w:rPr>
          <w:rFonts w:hint="eastAsia" w:ascii="宋体" w:hAnsi="宋体"/>
          <w:sz w:val="44"/>
          <w:szCs w:val="44"/>
        </w:rPr>
        <w:t>高等教育自学考试本科</w:t>
      </w:r>
    </w:p>
    <w:p>
      <w:pPr>
        <w:jc w:val="center"/>
        <w:rPr>
          <w:rFonts w:ascii="宋体" w:hAnsi="宋体"/>
          <w:sz w:val="44"/>
          <w:szCs w:val="44"/>
        </w:rPr>
      </w:pPr>
    </w:p>
    <w:p>
      <w:pPr>
        <w:jc w:val="center"/>
        <w:rPr>
          <w:rFonts w:ascii="宋体" w:hAnsi="宋体"/>
          <w:sz w:val="44"/>
          <w:szCs w:val="44"/>
        </w:rPr>
      </w:pPr>
    </w:p>
    <w:p>
      <w:pPr>
        <w:jc w:val="center"/>
        <w:rPr>
          <w:rFonts w:ascii="宋体" w:hAnsi="宋体"/>
          <w:sz w:val="44"/>
          <w:szCs w:val="44"/>
        </w:rPr>
      </w:pPr>
    </w:p>
    <w:p>
      <w:pPr>
        <w:jc w:val="center"/>
        <w:rPr>
          <w:rFonts w:ascii="宋体" w:hAnsi="宋体"/>
          <w:sz w:val="44"/>
          <w:szCs w:val="44"/>
        </w:rPr>
      </w:pPr>
      <w:r>
        <w:rPr>
          <w:rFonts w:ascii="宋体" w:hAnsi="宋体"/>
          <w:sz w:val="44"/>
          <w:szCs w:val="44"/>
        </w:rPr>
        <w:pict>
          <v:shape id="_x0000_i1025" o:spt="136" type="#_x0000_t136" style="height:65.25pt;width:372.75pt;" fillcolor="#000000" filled="t" coordsize="21600,21600">
            <v:path/>
            <v:fill on="t" focussize="0,0"/>
            <v:stroke/>
            <v:imagedata o:title=""/>
            <o:lock v:ext="edit"/>
            <v:textpath on="t" fitshape="t" fitpath="t" trim="t" xscale="f" string="调查报告" style="font-family:黑体;font-size:36pt;v-text-align:center;"/>
            <w10:wrap type="none"/>
            <w10:anchorlock/>
          </v:shape>
        </w:pict>
      </w:r>
    </w:p>
    <w:p>
      <w:pPr>
        <w:jc w:val="center"/>
        <w:rPr>
          <w:rFonts w:ascii="宋体" w:hAnsi="宋体"/>
          <w:sz w:val="44"/>
          <w:szCs w:val="44"/>
        </w:rPr>
      </w:pPr>
    </w:p>
    <w:p>
      <w:pPr>
        <w:jc w:val="both"/>
        <w:rPr>
          <w:rFonts w:ascii="宋体" w:hAnsi="宋体"/>
          <w:sz w:val="28"/>
          <w:szCs w:val="28"/>
        </w:rPr>
      </w:pPr>
    </w:p>
    <w:p>
      <w:pPr>
        <w:jc w:val="center"/>
        <w:rPr>
          <w:rFonts w:ascii="宋体" w:hAnsi="宋体"/>
          <w:sz w:val="28"/>
          <w:szCs w:val="28"/>
        </w:rPr>
      </w:pPr>
    </w:p>
    <w:p>
      <w:pPr>
        <w:ind w:firstLine="1620" w:firstLineChars="450"/>
        <w:rPr>
          <w:rFonts w:ascii="宋体" w:hAnsi="宋体"/>
          <w:sz w:val="36"/>
          <w:szCs w:val="36"/>
          <w:u w:val="single"/>
        </w:rPr>
      </w:pPr>
      <w:r>
        <w:rPr>
          <w:rFonts w:hint="eastAsia" w:ascii="宋体" w:hAnsi="宋体"/>
          <w:sz w:val="36"/>
          <w:szCs w:val="36"/>
        </w:rPr>
        <w:t>调查题目：</w:t>
      </w:r>
      <w:r>
        <w:rPr>
          <w:rFonts w:hint="eastAsia" w:ascii="宋体" w:hAnsi="宋体"/>
          <w:sz w:val="36"/>
          <w:szCs w:val="36"/>
          <w:u w:val="single"/>
          <w:lang w:eastAsia="zh-CN"/>
        </w:rPr>
        <w:t>西安众焱会议会展有限公司客户</w:t>
      </w:r>
      <w:r>
        <w:rPr>
          <w:rFonts w:hint="eastAsia" w:ascii="宋体" w:hAnsi="宋体"/>
          <w:color w:val="FFFFFF" w:themeColor="background1"/>
          <w:sz w:val="36"/>
          <w:szCs w:val="36"/>
          <w:u w:val="single"/>
          <w:lang w:val="en-US" w:eastAsia="zh-CN"/>
          <w14:textFill>
            <w14:solidFill>
              <w14:schemeClr w14:val="bg1"/>
            </w14:solidFill>
          </w14:textFill>
        </w:rPr>
        <w:tab/>
      </w:r>
      <w:r>
        <w:rPr>
          <w:rFonts w:hint="eastAsia" w:ascii="宋体" w:hAnsi="宋体"/>
          <w:color w:val="FFFFFF" w:themeColor="background1"/>
          <w:sz w:val="36"/>
          <w:szCs w:val="36"/>
          <w:u w:val="single"/>
          <w:lang w:val="en-US" w:eastAsia="zh-CN"/>
          <w14:textFill>
            <w14:solidFill>
              <w14:schemeClr w14:val="bg1"/>
            </w14:solidFill>
          </w14:textFill>
        </w:rPr>
        <w:tab/>
      </w:r>
      <w:r>
        <w:rPr>
          <w:rFonts w:hint="eastAsia" w:ascii="宋体" w:hAnsi="宋体"/>
          <w:color w:val="FFFFFF" w:themeColor="background1"/>
          <w:sz w:val="36"/>
          <w:szCs w:val="36"/>
          <w:u w:val="single"/>
          <w:lang w:val="en-US" w:eastAsia="zh-CN"/>
          <w14:textFill>
            <w14:solidFill>
              <w14:schemeClr w14:val="bg1"/>
            </w14:solidFill>
          </w14:textFill>
        </w:rPr>
        <w:tab/>
      </w:r>
      <w:r>
        <w:rPr>
          <w:rFonts w:hint="eastAsia" w:ascii="宋体" w:hAnsi="宋体"/>
          <w:color w:val="FFFFFF" w:themeColor="background1"/>
          <w:sz w:val="36"/>
          <w:szCs w:val="36"/>
          <w:u w:val="single"/>
          <w:lang w:val="en-US" w:eastAsia="zh-CN"/>
          <w14:textFill>
            <w14:solidFill>
              <w14:schemeClr w14:val="bg1"/>
            </w14:solidFill>
          </w14:textFill>
        </w:rPr>
        <w:tab/>
      </w:r>
      <w:r>
        <w:rPr>
          <w:rFonts w:hint="eastAsia" w:ascii="宋体" w:hAnsi="宋体"/>
          <w:color w:val="FFFFFF" w:themeColor="background1"/>
          <w:sz w:val="36"/>
          <w:szCs w:val="36"/>
          <w:u w:val="single"/>
          <w:lang w:val="en-US" w:eastAsia="zh-CN"/>
          <w14:textFill>
            <w14:solidFill>
              <w14:schemeClr w14:val="bg1"/>
            </w14:solidFill>
          </w14:textFill>
        </w:rPr>
        <w:tab/>
      </w:r>
      <w:r>
        <w:rPr>
          <w:rFonts w:hint="eastAsia" w:ascii="宋体" w:hAnsi="宋体"/>
          <w:color w:val="FFFFFF" w:themeColor="background1"/>
          <w:sz w:val="36"/>
          <w:szCs w:val="36"/>
          <w:u w:val="single"/>
          <w:lang w:val="en-US" w:eastAsia="zh-CN"/>
          <w14:textFill>
            <w14:solidFill>
              <w14:schemeClr w14:val="bg1"/>
            </w14:solidFill>
          </w14:textFill>
        </w:rPr>
        <w:tab/>
      </w:r>
      <w:r>
        <w:rPr>
          <w:rFonts w:hint="eastAsia" w:ascii="宋体" w:hAnsi="宋体"/>
          <w:color w:val="FFFFFF" w:themeColor="background1"/>
          <w:sz w:val="36"/>
          <w:szCs w:val="36"/>
          <w:u w:val="single"/>
          <w:lang w:val="en-US" w:eastAsia="zh-CN"/>
          <w14:textFill>
            <w14:solidFill>
              <w14:schemeClr w14:val="bg1"/>
            </w14:solidFill>
          </w14:textFill>
        </w:rPr>
        <w:tab/>
      </w:r>
      <w:r>
        <w:rPr>
          <w:rFonts w:hint="eastAsia" w:ascii="宋体" w:hAnsi="宋体"/>
          <w:color w:val="FFFFFF" w:themeColor="background1"/>
          <w:sz w:val="36"/>
          <w:szCs w:val="36"/>
          <w:u w:val="single"/>
          <w:lang w:val="en-US" w:eastAsia="zh-CN"/>
          <w14:textFill>
            <w14:solidFill>
              <w14:schemeClr w14:val="bg1"/>
            </w14:solidFill>
          </w14:textFill>
        </w:rPr>
        <w:t xml:space="preserve"> </w:t>
      </w:r>
      <w:r>
        <w:rPr>
          <w:rFonts w:hint="eastAsia" w:ascii="宋体" w:hAnsi="宋体"/>
          <w:color w:val="FFFFFF" w:themeColor="background1"/>
          <w:sz w:val="32"/>
          <w:szCs w:val="32"/>
          <w:u w:val="single"/>
          <w:lang w:val="en-US" w:eastAsia="zh-CN"/>
          <w14:textFill>
            <w14:solidFill>
              <w14:schemeClr w14:val="bg1"/>
            </w14:solidFill>
          </w14:textFill>
        </w:rPr>
        <w:t xml:space="preserve"> </w:t>
      </w:r>
      <w:r>
        <w:rPr>
          <w:rFonts w:hint="eastAsia" w:ascii="宋体" w:hAnsi="宋体"/>
          <w:sz w:val="36"/>
          <w:szCs w:val="36"/>
          <w:u w:val="single"/>
          <w:lang w:eastAsia="zh-CN"/>
        </w:rPr>
        <w:t>关系管理的基本做法和策略调</w:t>
      </w:r>
      <w:r>
        <w:rPr>
          <w:rFonts w:hint="eastAsia" w:ascii="宋体" w:hAnsi="宋体"/>
          <w:sz w:val="36"/>
          <w:szCs w:val="36"/>
          <w:u w:val="none"/>
          <w:lang w:val="en-US" w:eastAsia="zh-CN"/>
        </w:rPr>
        <w:tab/>
      </w:r>
      <w:r>
        <w:rPr>
          <w:rFonts w:hint="eastAsia" w:ascii="宋体" w:hAnsi="宋体"/>
          <w:sz w:val="36"/>
          <w:szCs w:val="36"/>
          <w:u w:val="none"/>
          <w:lang w:val="en-US" w:eastAsia="zh-CN"/>
        </w:rPr>
        <w:tab/>
      </w:r>
      <w:r>
        <w:rPr>
          <w:rFonts w:hint="eastAsia" w:ascii="宋体" w:hAnsi="宋体"/>
          <w:sz w:val="36"/>
          <w:szCs w:val="36"/>
          <w:u w:val="none"/>
          <w:lang w:val="en-US" w:eastAsia="zh-CN"/>
        </w:rPr>
        <w:tab/>
      </w:r>
      <w:r>
        <w:rPr>
          <w:rFonts w:hint="eastAsia" w:ascii="宋体" w:hAnsi="宋体"/>
          <w:sz w:val="36"/>
          <w:szCs w:val="36"/>
          <w:u w:val="none"/>
          <w:lang w:val="en-US" w:eastAsia="zh-CN"/>
        </w:rPr>
        <w:tab/>
      </w:r>
      <w:r>
        <w:rPr>
          <w:rFonts w:hint="eastAsia" w:ascii="宋体" w:hAnsi="宋体"/>
          <w:sz w:val="36"/>
          <w:szCs w:val="36"/>
          <w:u w:val="none"/>
          <w:lang w:val="en-US" w:eastAsia="zh-CN"/>
        </w:rPr>
        <w:tab/>
      </w:r>
      <w:r>
        <w:rPr>
          <w:rFonts w:hint="eastAsia" w:ascii="宋体" w:hAnsi="宋体"/>
          <w:sz w:val="36"/>
          <w:szCs w:val="36"/>
          <w:u w:val="none"/>
          <w:lang w:val="en-US" w:eastAsia="zh-CN"/>
        </w:rPr>
        <w:tab/>
      </w:r>
      <w:r>
        <w:rPr>
          <w:rFonts w:hint="eastAsia" w:ascii="宋体" w:hAnsi="宋体"/>
          <w:sz w:val="36"/>
          <w:szCs w:val="36"/>
          <w:u w:val="none"/>
          <w:lang w:val="en-US" w:eastAsia="zh-CN"/>
        </w:rPr>
        <w:tab/>
      </w:r>
      <w:r>
        <w:rPr>
          <w:rFonts w:hint="eastAsia" w:ascii="宋体" w:hAnsi="宋体"/>
          <w:sz w:val="28"/>
          <w:szCs w:val="28"/>
          <w:u w:val="none"/>
          <w:lang w:val="en-US" w:eastAsia="zh-CN"/>
        </w:rPr>
        <w:t xml:space="preserve"> </w:t>
      </w:r>
      <w:r>
        <w:rPr>
          <w:rFonts w:hint="eastAsia" w:ascii="宋体" w:hAnsi="宋体"/>
          <w:sz w:val="28"/>
          <w:szCs w:val="28"/>
          <w:u w:val="none"/>
          <w:lang w:val="en-US" w:eastAsia="zh-CN"/>
        </w:rPr>
        <w:tab/>
      </w:r>
      <w:r>
        <w:rPr>
          <w:rFonts w:hint="eastAsia" w:ascii="宋体" w:hAnsi="宋体"/>
          <w:sz w:val="21"/>
          <w:szCs w:val="21"/>
          <w:u w:val="none"/>
          <w:lang w:val="en-US" w:eastAsia="zh-CN"/>
        </w:rPr>
        <w:tab/>
      </w:r>
      <w:r>
        <w:rPr>
          <w:rFonts w:hint="eastAsia" w:ascii="宋体" w:hAnsi="宋体"/>
          <w:sz w:val="36"/>
          <w:szCs w:val="36"/>
          <w:u w:val="single"/>
          <w:lang w:eastAsia="zh-CN"/>
        </w:rPr>
        <w:t xml:space="preserve">查及信息系统的应用  </w:t>
      </w:r>
    </w:p>
    <w:p>
      <w:pPr>
        <w:ind w:firstLine="1620" w:firstLineChars="450"/>
        <w:rPr>
          <w:rFonts w:ascii="宋体" w:hAnsi="宋体"/>
          <w:sz w:val="36"/>
          <w:szCs w:val="36"/>
        </w:rPr>
      </w:pPr>
      <w:r>
        <w:rPr>
          <w:rFonts w:hint="eastAsia" w:ascii="宋体" w:hAnsi="宋体"/>
          <w:sz w:val="36"/>
          <w:szCs w:val="36"/>
        </w:rPr>
        <w:t>专业名称：</w:t>
      </w:r>
      <w:r>
        <w:rPr>
          <w:rFonts w:hint="eastAsia" w:ascii="宋体" w:hAnsi="宋体"/>
          <w:sz w:val="36"/>
          <w:szCs w:val="36"/>
          <w:u w:val="single"/>
        </w:rPr>
        <w:t xml:space="preserve">   </w:t>
      </w:r>
      <w:r>
        <w:rPr>
          <w:rFonts w:hint="eastAsia" w:ascii="宋体" w:hAnsi="宋体"/>
          <w:sz w:val="36"/>
          <w:szCs w:val="36"/>
          <w:u w:val="single"/>
          <w:lang w:eastAsia="zh-CN"/>
        </w:rPr>
        <w:t>会展管理</w:t>
      </w:r>
      <w:r>
        <w:rPr>
          <w:rFonts w:hint="eastAsia" w:ascii="宋体" w:hAnsi="宋体"/>
          <w:sz w:val="36"/>
          <w:szCs w:val="36"/>
          <w:u w:val="single"/>
        </w:rPr>
        <w:t xml:space="preserve">          </w:t>
      </w:r>
    </w:p>
    <w:p>
      <w:pPr>
        <w:ind w:firstLine="1620" w:firstLineChars="450"/>
        <w:rPr>
          <w:rFonts w:ascii="宋体" w:hAnsi="宋体"/>
          <w:sz w:val="36"/>
          <w:szCs w:val="36"/>
        </w:rPr>
      </w:pPr>
      <w:r>
        <w:rPr>
          <w:rFonts w:hint="eastAsia" w:ascii="宋体" w:hAnsi="宋体"/>
          <w:sz w:val="36"/>
          <w:szCs w:val="36"/>
        </w:rPr>
        <w:t>准考考号：</w:t>
      </w:r>
      <w:r>
        <w:rPr>
          <w:rFonts w:hint="eastAsia" w:ascii="宋体" w:hAnsi="宋体"/>
          <w:sz w:val="36"/>
          <w:szCs w:val="36"/>
          <w:u w:val="single"/>
        </w:rPr>
        <w:t xml:space="preserve">   </w:t>
      </w:r>
      <w:r>
        <w:rPr>
          <w:rFonts w:ascii="宋体" w:hAnsi="宋体"/>
          <w:sz w:val="36"/>
          <w:szCs w:val="36"/>
          <w:u w:val="single"/>
        </w:rPr>
        <w:t>820118</w:t>
      </w:r>
      <w:r>
        <w:rPr>
          <w:rFonts w:hint="eastAsia" w:ascii="宋体" w:hAnsi="宋体"/>
          <w:sz w:val="36"/>
          <w:szCs w:val="36"/>
          <w:u w:val="single"/>
          <w:lang w:val="en-US" w:eastAsia="zh-CN"/>
        </w:rPr>
        <w:t>202999</w:t>
      </w:r>
      <w:r>
        <w:rPr>
          <w:rFonts w:hint="eastAsia" w:ascii="宋体" w:hAnsi="宋体"/>
          <w:sz w:val="36"/>
          <w:szCs w:val="36"/>
          <w:u w:val="single"/>
        </w:rPr>
        <w:t xml:space="preserve">      </w:t>
      </w:r>
    </w:p>
    <w:p>
      <w:pPr>
        <w:ind w:firstLine="1620" w:firstLineChars="450"/>
        <w:rPr>
          <w:rFonts w:ascii="宋体" w:hAnsi="宋体"/>
          <w:sz w:val="36"/>
          <w:szCs w:val="36"/>
        </w:rPr>
      </w:pPr>
      <w:r>
        <w:rPr>
          <w:rFonts w:hint="eastAsia" w:ascii="宋体" w:hAnsi="宋体"/>
          <w:sz w:val="36"/>
          <w:szCs w:val="36"/>
        </w:rPr>
        <w:t>学生姓名：</w:t>
      </w:r>
      <w:r>
        <w:rPr>
          <w:rFonts w:hint="eastAsia" w:ascii="宋体" w:hAnsi="宋体"/>
          <w:sz w:val="36"/>
          <w:szCs w:val="36"/>
          <w:u w:val="single"/>
        </w:rPr>
        <w:t xml:space="preserve">     </w:t>
      </w:r>
      <w:r>
        <w:rPr>
          <w:rFonts w:hint="eastAsia" w:ascii="宋体" w:hAnsi="宋体" w:cs="宋体"/>
          <w:sz w:val="36"/>
          <w:szCs w:val="36"/>
          <w:u w:val="single"/>
        </w:rPr>
        <w:t>张</w:t>
      </w:r>
      <w:r>
        <w:rPr>
          <w:rFonts w:hint="eastAsia" w:ascii="宋体" w:hAnsi="宋体" w:cs="宋体"/>
          <w:sz w:val="36"/>
          <w:szCs w:val="36"/>
          <w:u w:val="single"/>
          <w:lang w:eastAsia="zh-CN"/>
        </w:rPr>
        <w:t>尚坤</w:t>
      </w:r>
      <w:r>
        <w:rPr>
          <w:rFonts w:hint="eastAsia" w:ascii="宋体" w:hAnsi="宋体" w:cs="宋体"/>
          <w:sz w:val="36"/>
          <w:szCs w:val="36"/>
          <w:u w:val="single"/>
        </w:rPr>
        <w:t xml:space="preserve"> </w:t>
      </w:r>
      <w:r>
        <w:rPr>
          <w:rFonts w:hint="eastAsia" w:ascii="宋体" w:hAnsi="宋体"/>
          <w:sz w:val="36"/>
          <w:szCs w:val="36"/>
          <w:u w:val="single"/>
        </w:rPr>
        <w:t xml:space="preserve">         </w:t>
      </w:r>
    </w:p>
    <w:p>
      <w:pPr>
        <w:rPr>
          <w:rFonts w:ascii="宋体" w:hAnsi="宋体"/>
          <w:sz w:val="36"/>
          <w:szCs w:val="36"/>
        </w:rPr>
      </w:pPr>
    </w:p>
    <w:p>
      <w:pPr>
        <w:rPr>
          <w:rFonts w:ascii="宋体" w:hAnsi="宋体"/>
          <w:sz w:val="36"/>
          <w:szCs w:val="36"/>
        </w:rPr>
      </w:pPr>
    </w:p>
    <w:p>
      <w:pPr>
        <w:ind w:firstLine="1620" w:firstLineChars="450"/>
        <w:rPr>
          <w:rFonts w:ascii="宋体" w:hAnsi="宋体"/>
          <w:sz w:val="36"/>
          <w:szCs w:val="36"/>
        </w:rPr>
      </w:pPr>
    </w:p>
    <w:p>
      <w:pPr>
        <w:ind w:firstLine="1620" w:firstLineChars="450"/>
        <w:rPr>
          <w:rFonts w:ascii="宋体" w:hAnsi="宋体"/>
          <w:sz w:val="36"/>
          <w:szCs w:val="36"/>
        </w:rPr>
      </w:pPr>
    </w:p>
    <w:p>
      <w:pPr>
        <w:jc w:val="center"/>
        <w:outlineLvl w:val="0"/>
        <w:rPr>
          <w:rFonts w:ascii="黑体" w:hAnsi="宋体" w:eastAsia="黑体"/>
          <w:sz w:val="36"/>
          <w:szCs w:val="36"/>
        </w:rPr>
      </w:pPr>
      <w:r>
        <w:rPr>
          <w:rFonts w:hint="eastAsia" w:ascii="黑体" w:hAnsi="宋体" w:eastAsia="黑体"/>
          <w:kern w:val="0"/>
          <w:sz w:val="36"/>
          <w:szCs w:val="36"/>
        </w:rPr>
        <w:t>广  州  大  学</w:t>
      </w:r>
    </w:p>
    <w:p>
      <w:pPr>
        <w:jc w:val="center"/>
        <w:outlineLvl w:val="0"/>
        <w:rPr>
          <w:rFonts w:hint="eastAsia" w:ascii="黑体" w:hAnsi="宋体" w:eastAsia="黑体"/>
          <w:sz w:val="36"/>
          <w:szCs w:val="36"/>
        </w:rPr>
      </w:pPr>
      <w:r>
        <w:rPr>
          <w:rFonts w:hint="eastAsia" w:ascii="黑体" w:hAnsi="宋体" w:eastAsia="黑体"/>
          <w:sz w:val="36"/>
          <w:szCs w:val="36"/>
          <w:lang w:val="en-US" w:eastAsia="zh-CN"/>
        </w:rPr>
        <w:t>2020</w:t>
      </w:r>
      <w:r>
        <w:rPr>
          <w:rFonts w:hint="eastAsia" w:ascii="黑体" w:hAnsi="宋体" w:eastAsia="黑体"/>
          <w:sz w:val="36"/>
          <w:szCs w:val="36"/>
        </w:rPr>
        <w:t xml:space="preserve">年 </w:t>
      </w:r>
      <w:r>
        <w:rPr>
          <w:rFonts w:hint="eastAsia" w:ascii="黑体" w:hAnsi="宋体" w:eastAsia="黑体"/>
          <w:sz w:val="36"/>
          <w:szCs w:val="36"/>
          <w:lang w:val="en-US" w:eastAsia="zh-CN"/>
        </w:rPr>
        <w:t>9</w:t>
      </w:r>
      <w:r>
        <w:rPr>
          <w:rFonts w:hint="eastAsia" w:ascii="黑体" w:hAnsi="宋体" w:eastAsia="黑体"/>
          <w:sz w:val="36"/>
          <w:szCs w:val="36"/>
        </w:rPr>
        <w:t xml:space="preserve">月 </w:t>
      </w:r>
      <w:r>
        <w:rPr>
          <w:rFonts w:hint="eastAsia" w:ascii="黑体" w:hAnsi="宋体" w:eastAsia="黑体"/>
          <w:sz w:val="36"/>
          <w:szCs w:val="36"/>
          <w:lang w:val="en-US" w:eastAsia="zh-CN"/>
        </w:rPr>
        <w:t>10</w:t>
      </w:r>
      <w:r>
        <w:rPr>
          <w:rFonts w:hint="eastAsia" w:ascii="黑体" w:hAnsi="宋体" w:eastAsia="黑体"/>
          <w:sz w:val="36"/>
          <w:szCs w:val="36"/>
        </w:rPr>
        <w:t>日</w:t>
      </w:r>
    </w:p>
    <w:p>
      <w:pPr>
        <w:spacing w:line="360" w:lineRule="exact"/>
        <w:jc w:val="left"/>
        <w:rPr>
          <w:rFonts w:hint="eastAsia" w:ascii="黑体" w:hAnsi="宋体" w:eastAsia="黑体"/>
          <w:sz w:val="36"/>
          <w:szCs w:val="36"/>
        </w:rPr>
      </w:pPr>
    </w:p>
    <w:p>
      <w:pPr>
        <w:pStyle w:val="2"/>
        <w:keepNext/>
        <w:keepLines/>
        <w:pageBreakBefore w:val="0"/>
        <w:widowControl w:val="0"/>
        <w:kinsoku/>
        <w:wordWrap/>
        <w:overflowPunct/>
        <w:topLinePunct w:val="0"/>
        <w:autoSpaceDE/>
        <w:autoSpaceDN/>
        <w:bidi w:val="0"/>
        <w:adjustRightInd/>
        <w:snapToGrid/>
        <w:spacing w:line="320" w:lineRule="exact"/>
        <w:textAlignment w:val="auto"/>
        <w:rPr>
          <w:rFonts w:hint="eastAsia"/>
        </w:rPr>
      </w:pPr>
      <w:r>
        <w:rPr>
          <w:rFonts w:hint="eastAsia"/>
        </w:rPr>
        <w:t>一．调查的原因：</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会展业作为新兴服务业，是我国21世纪的朝阳产业，目前在我国，会展业与旅游业、房地产一起，被并称为三大新经济产业。会展业地位和作用日益凸显会展业涉及工业、农业、商贸等诸多产业，对结构调整、开拓市场、促进消费、加强合作交流、扩大产品出口、推动经济快速持续健康发展等发挥重要作用，在城市建设、精神文明建设、和谐社会构建中显示出其特殊的地位和作用，并日益显现出来。</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在竞争日趋激烈的展览市场,</w:t>
      </w:r>
      <w:r>
        <w:rPr>
          <w:rFonts w:hint="default" w:ascii="宋体" w:hAnsi="宋体" w:eastAsia="宋体" w:cs="宋体"/>
          <w:kern w:val="0"/>
          <w:sz w:val="24"/>
          <w:szCs w:val="24"/>
          <w:shd w:val="clear" w:color="auto" w:fill="FFFFFF"/>
          <w:lang w:val="en-US" w:eastAsia="zh-CN" w:bidi="ar-SA"/>
        </w:rPr>
        <w:t>企业与市场的关系,最重要、最根本地表现在企业与客户的关系相处得如何。很多办展企业和组织者由于缺乏对客户关 系管理的认知,无法改善与客户的沟通技巧,忽视数字时代客户对互动性与个性 化的需求,导致会展客户资源的逐步流失。随着中国加入世界贸易组织 , 经济全球 化所带来的进一步挑战 , 越来越多的会展企业开始重视客户关系管理在业界的应用。</w:t>
      </w:r>
    </w:p>
    <w:p>
      <w:pPr>
        <w:spacing w:line="360" w:lineRule="exact"/>
        <w:ind w:firstLine="480"/>
        <w:rPr>
          <w:rFonts w:hint="eastAsia" w:ascii="宋体" w:hAnsi="宋体" w:cs="宋体"/>
          <w:sz w:val="24"/>
          <w:szCs w:val="24"/>
        </w:rPr>
      </w:pPr>
    </w:p>
    <w:p>
      <w:pPr>
        <w:pStyle w:val="2"/>
        <w:keepNext/>
        <w:keepLines/>
        <w:pageBreakBefore w:val="0"/>
        <w:widowControl w:val="0"/>
        <w:kinsoku/>
        <w:wordWrap/>
        <w:overflowPunct/>
        <w:topLinePunct w:val="0"/>
        <w:autoSpaceDE/>
        <w:autoSpaceDN/>
        <w:bidi w:val="0"/>
        <w:adjustRightInd/>
        <w:snapToGrid/>
        <w:spacing w:line="240" w:lineRule="exact"/>
        <w:textAlignment w:val="auto"/>
        <w:rPr>
          <w:rFonts w:hint="default"/>
          <w:lang w:val="en-US" w:eastAsia="zh-CN"/>
        </w:rPr>
      </w:pPr>
      <w:r>
        <w:rPr>
          <w:rFonts w:hint="eastAsia"/>
          <w:lang w:val="en-US" w:eastAsia="zh-CN"/>
        </w:rPr>
        <w:t>二、调查时间：</w:t>
      </w:r>
    </w:p>
    <w:p>
      <w:pPr>
        <w:spacing w:line="360" w:lineRule="exact"/>
        <w:ind w:left="360" w:firstLine="240" w:firstLineChars="100"/>
        <w:rPr>
          <w:rFonts w:hint="eastAsia" w:ascii="宋体" w:hAnsi="宋体" w:cs="宋体"/>
          <w:bCs/>
          <w:sz w:val="24"/>
          <w:szCs w:val="24"/>
          <w:lang w:val="en-US" w:eastAsia="zh-CN"/>
        </w:rPr>
      </w:pPr>
      <w:r>
        <w:rPr>
          <w:rFonts w:hint="eastAsia" w:ascii="宋体" w:hAnsi="宋体" w:cs="宋体"/>
          <w:bCs/>
          <w:sz w:val="24"/>
          <w:szCs w:val="24"/>
        </w:rPr>
        <w:t>调查日期：20</w:t>
      </w:r>
      <w:r>
        <w:rPr>
          <w:rFonts w:hint="eastAsia" w:ascii="宋体" w:hAnsi="宋体" w:cs="宋体"/>
          <w:bCs/>
          <w:sz w:val="24"/>
          <w:szCs w:val="24"/>
          <w:lang w:val="en-US" w:eastAsia="zh-CN"/>
        </w:rPr>
        <w:t>20</w:t>
      </w:r>
      <w:r>
        <w:rPr>
          <w:rFonts w:hint="eastAsia" w:ascii="宋体" w:hAnsi="宋体" w:cs="宋体"/>
          <w:bCs/>
          <w:sz w:val="24"/>
          <w:szCs w:val="24"/>
        </w:rPr>
        <w:t>年</w:t>
      </w:r>
      <w:r>
        <w:rPr>
          <w:rFonts w:hint="eastAsia" w:ascii="宋体" w:hAnsi="宋体" w:cs="宋体"/>
          <w:bCs/>
          <w:sz w:val="24"/>
          <w:szCs w:val="24"/>
          <w:lang w:val="en-US" w:eastAsia="zh-CN"/>
        </w:rPr>
        <w:t>6</w:t>
      </w:r>
      <w:r>
        <w:rPr>
          <w:rFonts w:hint="eastAsia" w:ascii="宋体" w:hAnsi="宋体" w:cs="宋体"/>
          <w:bCs/>
          <w:sz w:val="24"/>
          <w:szCs w:val="24"/>
        </w:rPr>
        <w:t>月</w:t>
      </w:r>
      <w:r>
        <w:rPr>
          <w:rFonts w:hint="eastAsia" w:ascii="宋体" w:hAnsi="宋体" w:cs="宋体"/>
          <w:bCs/>
          <w:sz w:val="24"/>
          <w:szCs w:val="24"/>
          <w:lang w:val="en-US" w:eastAsia="zh-CN"/>
        </w:rPr>
        <w:t>7号</w:t>
      </w:r>
      <w:r>
        <w:rPr>
          <w:rFonts w:hint="eastAsia" w:ascii="宋体" w:hAnsi="宋体" w:cs="宋体"/>
          <w:bCs/>
          <w:sz w:val="24"/>
          <w:szCs w:val="24"/>
        </w:rPr>
        <w:t>—20</w:t>
      </w:r>
      <w:r>
        <w:rPr>
          <w:rFonts w:hint="eastAsia" w:ascii="宋体" w:hAnsi="宋体" w:cs="宋体"/>
          <w:bCs/>
          <w:sz w:val="24"/>
          <w:szCs w:val="24"/>
          <w:lang w:val="en-US" w:eastAsia="zh-CN"/>
        </w:rPr>
        <w:t>20</w:t>
      </w:r>
      <w:r>
        <w:rPr>
          <w:rFonts w:hint="eastAsia" w:ascii="宋体" w:hAnsi="宋体" w:cs="宋体"/>
          <w:bCs/>
          <w:sz w:val="24"/>
          <w:szCs w:val="24"/>
        </w:rPr>
        <w:t>年</w:t>
      </w:r>
      <w:r>
        <w:rPr>
          <w:rFonts w:hint="eastAsia" w:ascii="宋体" w:hAnsi="宋体" w:cs="宋体"/>
          <w:bCs/>
          <w:sz w:val="24"/>
          <w:szCs w:val="24"/>
          <w:lang w:val="en-US" w:eastAsia="zh-CN"/>
        </w:rPr>
        <w:t>8</w:t>
      </w:r>
      <w:r>
        <w:rPr>
          <w:rFonts w:hint="eastAsia" w:ascii="宋体" w:hAnsi="宋体" w:cs="宋体"/>
          <w:bCs/>
          <w:sz w:val="24"/>
          <w:szCs w:val="24"/>
        </w:rPr>
        <w:t>月</w:t>
      </w:r>
      <w:r>
        <w:rPr>
          <w:rFonts w:hint="eastAsia" w:ascii="宋体" w:hAnsi="宋体" w:cs="宋体"/>
          <w:bCs/>
          <w:sz w:val="24"/>
          <w:szCs w:val="24"/>
          <w:lang w:val="en-US" w:eastAsia="zh-CN"/>
        </w:rPr>
        <w:t>25号</w:t>
      </w:r>
    </w:p>
    <w:p>
      <w:pPr>
        <w:spacing w:line="360" w:lineRule="exact"/>
        <w:ind w:left="360" w:firstLine="240" w:firstLineChars="100"/>
        <w:rPr>
          <w:rFonts w:hint="eastAsia" w:ascii="宋体" w:hAnsi="宋体" w:cs="宋体"/>
          <w:bCs/>
          <w:sz w:val="24"/>
          <w:szCs w:val="24"/>
          <w:lang w:val="en-US" w:eastAsia="zh-CN"/>
        </w:rPr>
      </w:pPr>
    </w:p>
    <w:p>
      <w:pPr>
        <w:pStyle w:val="2"/>
        <w:keepNext/>
        <w:keepLines/>
        <w:pageBreakBefore w:val="0"/>
        <w:widowControl w:val="0"/>
        <w:kinsoku/>
        <w:wordWrap/>
        <w:overflowPunct/>
        <w:topLinePunct w:val="0"/>
        <w:autoSpaceDE/>
        <w:autoSpaceDN/>
        <w:bidi w:val="0"/>
        <w:adjustRightInd/>
        <w:snapToGrid/>
        <w:spacing w:line="240" w:lineRule="exact"/>
        <w:textAlignment w:val="auto"/>
        <w:rPr>
          <w:rFonts w:hint="default"/>
          <w:lang w:val="en-US" w:eastAsia="zh-CN"/>
        </w:rPr>
      </w:pPr>
      <w:r>
        <w:rPr>
          <w:rFonts w:hint="eastAsia"/>
          <w:lang w:val="en-US" w:eastAsia="zh-CN"/>
        </w:rPr>
        <w:t>三、调查对象：</w:t>
      </w:r>
    </w:p>
    <w:p>
      <w:pPr>
        <w:pStyle w:val="3"/>
        <w:keepNext/>
        <w:keepLines/>
        <w:pageBreakBefore w:val="0"/>
        <w:widowControl w:val="0"/>
        <w:kinsoku/>
        <w:wordWrap/>
        <w:overflowPunct/>
        <w:topLinePunct w:val="0"/>
        <w:autoSpaceDE/>
        <w:autoSpaceDN/>
        <w:bidi w:val="0"/>
        <w:adjustRightInd/>
        <w:snapToGrid/>
        <w:spacing w:line="240" w:lineRule="exact"/>
        <w:textAlignment w:val="auto"/>
        <w:rPr>
          <w:rFonts w:hint="eastAsia"/>
          <w:lang w:val="en-US" w:eastAsia="zh-CN"/>
        </w:rPr>
      </w:pPr>
      <w:r>
        <w:rPr>
          <w:rFonts w:hint="eastAsia"/>
          <w:lang w:val="en-US" w:eastAsia="zh-CN"/>
        </w:rPr>
        <w:t>（一）西安众焱会议会展有限公司领导</w:t>
      </w:r>
    </w:p>
    <w:p>
      <w:pPr>
        <w:pStyle w:val="3"/>
        <w:keepNext/>
        <w:keepLines/>
        <w:pageBreakBefore w:val="0"/>
        <w:widowControl w:val="0"/>
        <w:kinsoku/>
        <w:wordWrap/>
        <w:overflowPunct/>
        <w:topLinePunct w:val="0"/>
        <w:autoSpaceDE/>
        <w:autoSpaceDN/>
        <w:bidi w:val="0"/>
        <w:adjustRightInd/>
        <w:snapToGrid/>
        <w:spacing w:line="240" w:lineRule="exact"/>
        <w:textAlignment w:val="auto"/>
        <w:rPr>
          <w:rFonts w:hint="eastAsia"/>
          <w:lang w:val="en-US" w:eastAsia="zh-CN"/>
        </w:rPr>
      </w:pPr>
      <w:r>
        <w:rPr>
          <w:rFonts w:hint="eastAsia"/>
          <w:lang w:val="en-US" w:eastAsia="zh-CN"/>
        </w:rPr>
        <w:t>（二）参展商</w:t>
      </w:r>
    </w:p>
    <w:p>
      <w:pPr>
        <w:pStyle w:val="3"/>
        <w:keepNext/>
        <w:keepLines/>
        <w:pageBreakBefore w:val="0"/>
        <w:widowControl w:val="0"/>
        <w:kinsoku/>
        <w:wordWrap/>
        <w:overflowPunct/>
        <w:topLinePunct w:val="0"/>
        <w:autoSpaceDE/>
        <w:autoSpaceDN/>
        <w:bidi w:val="0"/>
        <w:adjustRightInd/>
        <w:snapToGrid/>
        <w:spacing w:line="240" w:lineRule="exact"/>
        <w:textAlignment w:val="auto"/>
        <w:rPr>
          <w:rFonts w:hint="default"/>
          <w:lang w:val="en-US" w:eastAsia="zh-CN"/>
        </w:rPr>
      </w:pPr>
      <w:r>
        <w:rPr>
          <w:rFonts w:hint="eastAsia"/>
          <w:lang w:val="en-US" w:eastAsia="zh-CN"/>
        </w:rPr>
        <w:t>（三）参展观众</w:t>
      </w:r>
    </w:p>
    <w:p>
      <w:pPr>
        <w:pStyle w:val="3"/>
        <w:keepNext/>
        <w:keepLines/>
        <w:pageBreakBefore w:val="0"/>
        <w:widowControl w:val="0"/>
        <w:kinsoku/>
        <w:wordWrap/>
        <w:overflowPunct/>
        <w:topLinePunct w:val="0"/>
        <w:autoSpaceDE/>
        <w:autoSpaceDN/>
        <w:bidi w:val="0"/>
        <w:adjustRightInd/>
        <w:snapToGrid/>
        <w:spacing w:line="240" w:lineRule="exact"/>
        <w:textAlignment w:val="auto"/>
        <w:rPr>
          <w:rFonts w:hint="default"/>
          <w:lang w:val="en-US" w:eastAsia="zh-CN"/>
        </w:rPr>
      </w:pPr>
      <w:r>
        <w:rPr>
          <w:rFonts w:hint="eastAsia"/>
          <w:lang w:val="en-US" w:eastAsia="zh-CN"/>
        </w:rPr>
        <w:t>（四）会展工作人员</w:t>
      </w:r>
    </w:p>
    <w:p>
      <w:pPr>
        <w:pStyle w:val="3"/>
        <w:keepNext/>
        <w:keepLines/>
        <w:pageBreakBefore w:val="0"/>
        <w:widowControl w:val="0"/>
        <w:kinsoku/>
        <w:wordWrap/>
        <w:overflowPunct/>
        <w:topLinePunct w:val="0"/>
        <w:autoSpaceDE/>
        <w:autoSpaceDN/>
        <w:bidi w:val="0"/>
        <w:adjustRightInd/>
        <w:snapToGrid/>
        <w:spacing w:line="240" w:lineRule="exact"/>
        <w:textAlignment w:val="auto"/>
        <w:rPr>
          <w:rFonts w:hint="eastAsia"/>
          <w:lang w:val="en-US" w:eastAsia="zh-CN"/>
        </w:rPr>
      </w:pPr>
      <w:r>
        <w:rPr>
          <w:rFonts w:hint="eastAsia"/>
          <w:lang w:val="en-US" w:eastAsia="zh-CN"/>
        </w:rPr>
        <w:t>（五）关系管理相关人员</w:t>
      </w:r>
    </w:p>
    <w:p>
      <w:pPr>
        <w:pStyle w:val="3"/>
        <w:keepNext/>
        <w:keepLines/>
        <w:pageBreakBefore w:val="0"/>
        <w:widowControl w:val="0"/>
        <w:kinsoku/>
        <w:wordWrap/>
        <w:overflowPunct/>
        <w:topLinePunct w:val="0"/>
        <w:autoSpaceDE/>
        <w:autoSpaceDN/>
        <w:bidi w:val="0"/>
        <w:adjustRightInd/>
        <w:snapToGrid/>
        <w:spacing w:line="240" w:lineRule="exact"/>
        <w:textAlignment w:val="auto"/>
        <w:rPr>
          <w:rFonts w:hint="default"/>
          <w:lang w:val="en-US" w:eastAsia="zh-CN"/>
        </w:rPr>
      </w:pPr>
      <w:r>
        <w:rPr>
          <w:rFonts w:hint="eastAsia"/>
          <w:lang w:val="en-US" w:eastAsia="zh-CN"/>
        </w:rPr>
        <w:t>（六）抽样部分群众</w:t>
      </w:r>
    </w:p>
    <w:p>
      <w:pPr>
        <w:pageBreakBefore w:val="0"/>
        <w:widowControl w:val="0"/>
        <w:kinsoku/>
        <w:wordWrap/>
        <w:overflowPunct/>
        <w:topLinePunct w:val="0"/>
        <w:autoSpaceDE/>
        <w:autoSpaceDN/>
        <w:bidi w:val="0"/>
        <w:adjustRightInd/>
        <w:snapToGrid/>
        <w:spacing w:line="240" w:lineRule="auto"/>
        <w:textAlignment w:val="auto"/>
        <w:rPr>
          <w:rFonts w:hint="default" w:ascii="黑体" w:hAnsi="黑体" w:eastAsia="黑体" w:cs="黑体"/>
          <w:sz w:val="24"/>
          <w:szCs w:val="24"/>
          <w:lang w:val="en-US" w:eastAsia="zh-CN"/>
        </w:rPr>
      </w:pPr>
    </w:p>
    <w:p>
      <w:pPr>
        <w:pStyle w:val="2"/>
        <w:keepNext/>
        <w:keepLines/>
        <w:pageBreakBefore w:val="0"/>
        <w:widowControl w:val="0"/>
        <w:kinsoku/>
        <w:wordWrap/>
        <w:overflowPunct/>
        <w:topLinePunct w:val="0"/>
        <w:autoSpaceDE/>
        <w:autoSpaceDN/>
        <w:bidi w:val="0"/>
        <w:adjustRightInd/>
        <w:snapToGrid/>
        <w:spacing w:line="460" w:lineRule="exact"/>
        <w:textAlignment w:val="auto"/>
        <w:rPr>
          <w:rFonts w:hint="eastAsia"/>
          <w:lang w:val="en-US" w:eastAsia="zh-CN"/>
        </w:rPr>
      </w:pPr>
      <w:r>
        <w:rPr>
          <w:rFonts w:hint="eastAsia"/>
          <w:lang w:val="en-US" w:eastAsia="zh-CN"/>
        </w:rPr>
        <w:t>四、调查过程：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60" w:lineRule="exact"/>
        <w:ind w:firstLine="420" w:firstLineChars="0"/>
        <w:jc w:val="left"/>
        <w:textAlignment w:val="auto"/>
        <w:rPr>
          <w:rFonts w:hint="eastAsia" w:ascii="宋体" w:hAnsi="宋体" w:cs="宋体"/>
          <w:kern w:val="0"/>
          <w:sz w:val="24"/>
          <w:szCs w:val="24"/>
          <w:shd w:val="clear" w:color="auto" w:fill="FFFFFF"/>
          <w:lang w:val="en-US" w:eastAsia="zh-CN" w:bidi="ar-SA"/>
        </w:rPr>
      </w:pPr>
      <w:r>
        <w:rPr>
          <w:rFonts w:hint="eastAsia" w:ascii="宋体" w:hAnsi="宋体" w:cs="宋体"/>
          <w:bCs/>
          <w:sz w:val="24"/>
          <w:szCs w:val="24"/>
          <w:lang w:val="en-US" w:eastAsia="zh-CN"/>
        </w:rPr>
        <w:t>我走访了</w:t>
      </w:r>
      <w:r>
        <w:rPr>
          <w:rFonts w:hint="eastAsia" w:ascii="宋体" w:hAnsi="宋体" w:cs="宋体"/>
          <w:bCs/>
          <w:sz w:val="24"/>
          <w:szCs w:val="24"/>
          <w:lang w:eastAsia="zh-CN"/>
        </w:rPr>
        <w:t>西安众焱会议会展有限公司</w:t>
      </w:r>
      <w:r>
        <w:rPr>
          <w:rFonts w:hint="eastAsia" w:ascii="宋体" w:hAnsi="宋体" w:cs="宋体"/>
          <w:bCs/>
          <w:sz w:val="24"/>
          <w:szCs w:val="24"/>
          <w:lang w:val="en-US" w:eastAsia="zh-CN"/>
        </w:rPr>
        <w:t>，对其单位高层领导以及客户关系管理人员进行调查、包括对</w:t>
      </w:r>
      <w:r>
        <w:rPr>
          <w:rFonts w:hint="eastAsia" w:ascii="宋体" w:hAnsi="宋体" w:cs="宋体"/>
          <w:bCs/>
          <w:sz w:val="24"/>
          <w:szCs w:val="24"/>
          <w:lang w:eastAsia="zh-CN"/>
        </w:rPr>
        <w:t>西安众焱会议会展有限公司</w:t>
      </w:r>
      <w:r>
        <w:rPr>
          <w:rFonts w:hint="eastAsia" w:ascii="宋体" w:hAnsi="宋体" w:cs="宋体"/>
          <w:bCs/>
          <w:sz w:val="24"/>
          <w:szCs w:val="24"/>
          <w:lang w:val="en-US" w:eastAsia="zh-CN"/>
        </w:rPr>
        <w:t>多次举办会展的参展商、参展观众等相关人员进行访问，甚至随机抽取群众调查对会展行业的理解以及客户关系管理方面的问题，</w:t>
      </w:r>
      <w:r>
        <w:rPr>
          <w:rFonts w:hint="eastAsia" w:ascii="宋体" w:hAnsi="宋体" w:cs="宋体"/>
          <w:kern w:val="0"/>
          <w:sz w:val="24"/>
          <w:szCs w:val="24"/>
          <w:shd w:val="clear" w:color="auto" w:fill="FFFFFF"/>
          <w:lang w:val="en-US" w:eastAsia="zh-CN" w:bidi="ar-SA"/>
        </w:rPr>
        <w:t>目的是从多方面，多角度，大量的调查数据中得出科学、有用的结论。</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60" w:lineRule="exact"/>
        <w:ind w:firstLine="420" w:firstLineChars="0"/>
        <w:jc w:val="left"/>
        <w:textAlignment w:val="auto"/>
        <w:rPr>
          <w:rFonts w:hint="eastAsia" w:ascii="宋体" w:hAnsi="宋体" w:cs="宋体"/>
          <w:kern w:val="0"/>
          <w:sz w:val="24"/>
          <w:szCs w:val="24"/>
          <w:shd w:val="clear" w:color="auto" w:fill="FFFFFF"/>
          <w:lang w:val="en-US" w:eastAsia="zh-CN" w:bidi="ar-SA"/>
        </w:rPr>
      </w:pPr>
    </w:p>
    <w:p>
      <w:pPr>
        <w:pStyle w:val="2"/>
        <w:keepNext/>
        <w:keepLines/>
        <w:pageBreakBefore w:val="0"/>
        <w:widowControl w:val="0"/>
        <w:numPr>
          <w:ilvl w:val="0"/>
          <w:numId w:val="1"/>
        </w:numPr>
        <w:kinsoku/>
        <w:wordWrap/>
        <w:overflowPunct/>
        <w:topLinePunct w:val="0"/>
        <w:autoSpaceDE/>
        <w:autoSpaceDN/>
        <w:bidi w:val="0"/>
        <w:adjustRightInd/>
        <w:snapToGrid/>
        <w:spacing w:line="240" w:lineRule="exact"/>
        <w:textAlignment w:val="auto"/>
        <w:rPr>
          <w:rFonts w:hint="eastAsia"/>
          <w:lang w:val="en-US" w:eastAsia="zh-CN"/>
        </w:rPr>
      </w:pPr>
      <w:bookmarkStart w:id="0" w:name="_GoBack"/>
      <w:bookmarkEnd w:id="0"/>
      <w:r>
        <w:rPr>
          <w:rFonts w:hint="eastAsia"/>
          <w:lang w:val="en-US" w:eastAsia="zh-CN"/>
        </w:rPr>
        <w:t>调查的结果及分析 ：</w:t>
      </w:r>
    </w:p>
    <w:p>
      <w:pPr>
        <w:pStyle w:val="3"/>
        <w:keepNext/>
        <w:keepLines/>
        <w:pageBreakBefore w:val="0"/>
        <w:widowControl w:val="0"/>
        <w:kinsoku/>
        <w:wordWrap/>
        <w:overflowPunct/>
        <w:topLinePunct w:val="0"/>
        <w:autoSpaceDE/>
        <w:autoSpaceDN/>
        <w:bidi w:val="0"/>
        <w:adjustRightInd/>
        <w:snapToGrid/>
        <w:spacing w:line="240" w:lineRule="exact"/>
        <w:textAlignment w:val="auto"/>
        <w:rPr>
          <w:rFonts w:hint="eastAsia" w:ascii="黑体" w:hAnsi="黑体" w:eastAsia="黑体" w:cs="黑体"/>
          <w:sz w:val="28"/>
          <w:szCs w:val="28"/>
          <w:shd w:val="clear" w:color="auto" w:fill="FFFFFF"/>
          <w:lang w:val="en-US" w:eastAsia="zh-CN"/>
        </w:rPr>
      </w:pPr>
      <w:r>
        <w:rPr>
          <w:rFonts w:hint="eastAsia"/>
          <w:lang w:val="en-US" w:eastAsia="zh-CN"/>
        </w:rPr>
        <w:t xml:space="preserve">（一）我国会展企业客户关系管理现状 </w:t>
      </w:r>
    </w:p>
    <w:p>
      <w:pPr>
        <w:pStyle w:val="4"/>
        <w:keepNext/>
        <w:keepLines/>
        <w:pageBreakBefore w:val="0"/>
        <w:widowControl w:val="0"/>
        <w:kinsoku/>
        <w:wordWrap/>
        <w:overflowPunct/>
        <w:topLinePunct w:val="0"/>
        <w:autoSpaceDE/>
        <w:autoSpaceDN/>
        <w:bidi w:val="0"/>
        <w:adjustRightInd/>
        <w:snapToGrid/>
        <w:spacing w:line="240" w:lineRule="exact"/>
        <w:textAlignment w:val="auto"/>
        <w:rPr>
          <w:rFonts w:hint="eastAsia"/>
        </w:rPr>
      </w:pPr>
      <w:r>
        <w:rPr>
          <w:rFonts w:hint="eastAsia"/>
          <w:lang w:val="en-US" w:eastAsia="zh-CN"/>
        </w:rPr>
        <w:t xml:space="preserve">1.没有真正树立起以客户为中心的营销理念 </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仍有许多会展企业没有真正树立起以客户为中心的营销理念，对客户关怀和客户满意度重视不够。 随着会展业竞争激烈程度的增加，会展企业应该重视客户价值的逐渐提升，不断满足客户个性化的需求。当前，我国的会展业面临会展项目同质化非常强的局面，使得大多数展会客户流失严重， 会展企业不得不去花费更多的成本去重新招揽顾客。所以，对于会展企业来说，展会结束以后，应该主动征询客户意见和建议，而不只是整理好参展商和专业观众的一些相关信息以备来年再次使用，应该多去关心客户对本次会展是否满意以及其是否在展会中受益。</w:t>
      </w:r>
    </w:p>
    <w:p>
      <w:pPr>
        <w:pStyle w:val="4"/>
        <w:keepNext/>
        <w:keepLines/>
        <w:pageBreakBefore w:val="0"/>
        <w:widowControl w:val="0"/>
        <w:numPr>
          <w:ilvl w:val="0"/>
          <w:numId w:val="2"/>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我国会展企业资金能力有限 </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资金是制约我国会展企业实施CRM</w:t>
      </w:r>
      <w:r>
        <w:rPr>
          <w:rFonts w:hint="default" w:asciiTheme="minorEastAsia" w:hAnsiTheme="minorEastAsia" w:eastAsiaTheme="minorEastAsia" w:cstheme="minorEastAsia"/>
          <w:color w:val="000000"/>
          <w:kern w:val="0"/>
          <w:sz w:val="24"/>
          <w:szCs w:val="24"/>
          <w:lang w:val="en-US" w:eastAsia="zh-CN" w:bidi="ar"/>
        </w:rPr>
        <w:t xml:space="preserve">的瓶颈。由于 CRM系统结构复杂， 全套 </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rPr>
          <w:rFonts w:hint="default" w:asciiTheme="minorEastAsia" w:hAnsiTheme="minorEastAsia" w:eastAsiaTheme="minorEastAsia" w:cstheme="minorEastAsia"/>
          <w:color w:val="000000"/>
          <w:kern w:val="0"/>
          <w:sz w:val="24"/>
          <w:szCs w:val="24"/>
          <w:lang w:val="en-US" w:eastAsia="zh-CN" w:bidi="ar"/>
        </w:rPr>
      </w:pPr>
      <w:r>
        <w:rPr>
          <w:rFonts w:hint="default" w:asciiTheme="minorEastAsia" w:hAnsiTheme="minorEastAsia" w:eastAsiaTheme="minorEastAsia" w:cstheme="minorEastAsia"/>
          <w:color w:val="000000"/>
          <w:kern w:val="0"/>
          <w:sz w:val="24"/>
          <w:szCs w:val="24"/>
          <w:lang w:val="en-US" w:eastAsia="zh-CN" w:bidi="ar"/>
        </w:rPr>
        <w:t>方案费用十分昂贵，目前我国实施CRM的多是银行、电信、石化、制造等大型实力雄厚的企业， 而对于我国大部分会展企业来说， 资金能力有限，难以承受昂贵的CRM全套方案实施费用。</w:t>
      </w:r>
    </w:p>
    <w:p>
      <w:pPr>
        <w:pStyle w:val="4"/>
        <w:keepNext/>
        <w:keepLines/>
        <w:pageBreakBefore w:val="0"/>
        <w:widowControl w:val="0"/>
        <w:numPr>
          <w:ilvl w:val="0"/>
          <w:numId w:val="2"/>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国内CRM软件商和咨询公司开发力度不够</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在CRM中重要的一个环节就是软件开发商和咨询公司。CRM在各行业的推进很大程度上依赖于这些第三方。全国展览馆的CRM软件研发和咨询还没有形成规模。由于CRM软件研发和咨询公司的服务能力受到限制，所以自然就成为了全国展览馆或者是国内会展的CRM推进受阻的另一个重要原因。</w:t>
      </w:r>
    </w:p>
    <w:p>
      <w:pPr>
        <w:keepNext w:val="0"/>
        <w:keepLines w:val="0"/>
        <w:widowControl/>
        <w:numPr>
          <w:ilvl w:val="0"/>
          <w:numId w:val="0"/>
        </w:numPr>
        <w:suppressLineNumbers w:val="0"/>
        <w:jc w:val="left"/>
        <w:rPr>
          <w:rFonts w:hint="eastAsia" w:asciiTheme="majorEastAsia" w:hAnsiTheme="majorEastAsia" w:eastAsiaTheme="majorEastAsia" w:cstheme="majorEastAsia"/>
          <w:kern w:val="0"/>
          <w:sz w:val="24"/>
          <w:szCs w:val="24"/>
          <w:shd w:val="clear" w:color="auto" w:fill="FFFFFF"/>
          <w:lang w:val="en-US" w:eastAsia="zh-CN" w:bidi="ar-SA"/>
        </w:rPr>
      </w:pPr>
    </w:p>
    <w:p>
      <w:pPr>
        <w:pStyle w:val="3"/>
        <w:keepNext/>
        <w:keepLines/>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（二）我国会展企业客户关系管理对策 </w:t>
      </w:r>
    </w:p>
    <w:p>
      <w:pPr>
        <w:pStyle w:val="4"/>
        <w:keepNext/>
        <w:keepLines/>
        <w:pageBreakBefore w:val="0"/>
        <w:widowControl w:val="0"/>
        <w:kinsoku/>
        <w:wordWrap/>
        <w:overflowPunct/>
        <w:topLinePunct w:val="0"/>
        <w:autoSpaceDE/>
        <w:autoSpaceDN/>
        <w:bidi w:val="0"/>
        <w:adjustRightInd/>
        <w:snapToGrid/>
        <w:spacing w:line="240" w:lineRule="exact"/>
        <w:textAlignment w:val="auto"/>
        <w:rPr>
          <w:rFonts w:hint="eastAsia"/>
          <w:lang w:val="en-US" w:eastAsia="zh-CN"/>
        </w:rPr>
      </w:pPr>
      <w:r>
        <w:rPr>
          <w:rFonts w:hint="eastAsia"/>
          <w:lang w:val="en-US" w:eastAsia="zh-CN"/>
        </w:rPr>
        <w:t xml:space="preserve">1.通过正确的途径吸引会展客户 </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会展活动的成功举行离不开会展客户的支持，而会展客户的支持首先需要 </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rPr>
          <w:rFonts w:hint="default" w:asciiTheme="minorEastAsia" w:hAnsiTheme="minorEastAsia" w:eastAsiaTheme="minorEastAsia" w:cstheme="minorEastAsia"/>
          <w:color w:val="000000"/>
          <w:kern w:val="0"/>
          <w:sz w:val="24"/>
          <w:szCs w:val="24"/>
          <w:lang w:val="en-US" w:eastAsia="zh-CN" w:bidi="ar"/>
        </w:rPr>
      </w:pPr>
      <w:r>
        <w:rPr>
          <w:rFonts w:hint="default" w:asciiTheme="minorEastAsia" w:hAnsiTheme="minorEastAsia" w:eastAsiaTheme="minorEastAsia" w:cstheme="minorEastAsia"/>
          <w:color w:val="000000"/>
          <w:kern w:val="0"/>
          <w:sz w:val="24"/>
          <w:szCs w:val="24"/>
          <w:lang w:val="en-US" w:eastAsia="zh-CN" w:bidi="ar"/>
        </w:rPr>
        <w:t>会展企业通过各种策略和方式吸引到客户，因此吸引会展客户是会展客户关系管理策略的第一步。会展客户不仅指老客户，也包括新客户和会展潜在客户。忠诚的老客户是企业最有价值的资产。 老客户是企业发展的客户基础，企业留住老客户和吸引新客户对于企业来说具有同等重要的意义，企业在开发新客户的同时一定不能忽视了老客户的存在。 新客户是会展业宝贵的市场资源， 也是会展企业未来的发展空间，新客户数量的多少决定着会展未来可能发展规模的大小吸引新客户是会展企业长期稳定发展的重要工作内容之一</w:t>
      </w:r>
    </w:p>
    <w:p>
      <w:pPr>
        <w:pStyle w:val="4"/>
        <w:keepNext/>
        <w:keepLines/>
        <w:pageBreakBefore w:val="0"/>
        <w:widowControl w:val="0"/>
        <w:kinsoku/>
        <w:wordWrap/>
        <w:overflowPunct/>
        <w:topLinePunct w:val="0"/>
        <w:autoSpaceDE/>
        <w:autoSpaceDN/>
        <w:bidi w:val="0"/>
        <w:adjustRightInd/>
        <w:snapToGrid/>
        <w:spacing w:line="240" w:lineRule="exact"/>
        <w:textAlignment w:val="auto"/>
        <w:rPr>
          <w:rFonts w:hint="eastAsia"/>
          <w:lang w:val="en-US" w:eastAsia="zh-CN"/>
        </w:rPr>
      </w:pPr>
      <w:r>
        <w:rPr>
          <w:rFonts w:hint="eastAsia"/>
          <w:lang w:val="en-US" w:eastAsia="zh-CN"/>
        </w:rPr>
        <w:t xml:space="preserve">2.不断巩固客户关系 </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hint="default" w:asciiTheme="minorEastAsia" w:hAnsiTheme="minorEastAsia" w:eastAsiaTheme="minorEastAsia" w:cstheme="minorEastAsia"/>
          <w:color w:val="000000"/>
          <w:kern w:val="0"/>
          <w:sz w:val="24"/>
          <w:szCs w:val="24"/>
          <w:lang w:val="en-US" w:eastAsia="zh-CN" w:bidi="ar"/>
        </w:rPr>
      </w:pPr>
      <w:r>
        <w:rPr>
          <w:rFonts w:hint="default" w:asciiTheme="minorEastAsia" w:hAnsiTheme="minorEastAsia" w:eastAsiaTheme="minorEastAsia" w:cstheme="minorEastAsia"/>
          <w:color w:val="000000"/>
          <w:kern w:val="0"/>
          <w:sz w:val="24"/>
          <w:szCs w:val="24"/>
          <w:lang w:val="en-US" w:eastAsia="zh-CN" w:bidi="ar"/>
        </w:rPr>
        <w:t>不断巩固客户关系可以保证企业有效的实施客户关系管理。 首先，追踪客户需求并不断满足。</w:t>
      </w:r>
      <w:r>
        <w:rPr>
          <w:rFonts w:hint="default" w:ascii="STSongStd-Light-Acro" w:hAnsi="STSongStd-Light-Acro" w:eastAsia="STSongStd-Light-Acro" w:cs="STSongStd-Light-Acro"/>
          <w:color w:val="000000"/>
          <w:kern w:val="0"/>
          <w:sz w:val="24"/>
          <w:szCs w:val="24"/>
          <w:lang w:val="en-US" w:eastAsia="zh-CN" w:bidi="ar"/>
        </w:rPr>
        <w:t xml:space="preserve"> </w:t>
      </w:r>
      <w:r>
        <w:rPr>
          <w:rFonts w:hint="default" w:asciiTheme="minorEastAsia" w:hAnsiTheme="minorEastAsia" w:eastAsiaTheme="minorEastAsia" w:cstheme="minorEastAsia"/>
          <w:color w:val="000000"/>
          <w:kern w:val="0"/>
          <w:sz w:val="24"/>
          <w:szCs w:val="24"/>
          <w:lang w:val="en-US" w:eastAsia="zh-CN" w:bidi="ar"/>
        </w:rPr>
        <w:t>其次，关注参展商和观众的参展效益。 再次，不断丰富员 工知识，提高服务质量和服务技能。最后，进行展后客户满意度调查，并有效处理客户投诉。</w:t>
      </w:r>
    </w:p>
    <w:p>
      <w:pPr>
        <w:pStyle w:val="4"/>
        <w:keepNext/>
        <w:keepLines/>
        <w:pageBreakBefore w:val="0"/>
        <w:widowControl w:val="0"/>
        <w:kinsoku/>
        <w:wordWrap/>
        <w:overflowPunct/>
        <w:topLinePunct w:val="0"/>
        <w:autoSpaceDE/>
        <w:autoSpaceDN/>
        <w:bidi w:val="0"/>
        <w:adjustRightInd/>
        <w:snapToGrid/>
        <w:spacing w:line="240" w:lineRule="exact"/>
        <w:textAlignment w:val="auto"/>
        <w:rPr>
          <w:rFonts w:hint="eastAsia"/>
          <w:lang w:val="en-US" w:eastAsia="zh-CN"/>
        </w:rPr>
      </w:pPr>
      <w:r>
        <w:rPr>
          <w:rFonts w:hint="eastAsia"/>
          <w:lang w:val="en-US" w:eastAsia="zh-CN"/>
        </w:rPr>
        <w:t xml:space="preserve">3.实施客户忠诚策略 </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hint="default" w:asciiTheme="minorEastAsia" w:hAnsiTheme="minorEastAsia" w:eastAsiaTheme="minorEastAsia" w:cstheme="minorEastAsia"/>
          <w:color w:val="000000"/>
          <w:kern w:val="0"/>
          <w:sz w:val="24"/>
          <w:szCs w:val="24"/>
          <w:lang w:val="en-US" w:eastAsia="zh-CN" w:bidi="ar"/>
        </w:rPr>
      </w:pPr>
      <w:r>
        <w:rPr>
          <w:rFonts w:hint="default" w:asciiTheme="minorEastAsia" w:hAnsiTheme="minorEastAsia" w:eastAsiaTheme="minorEastAsia" w:cstheme="minorEastAsia"/>
          <w:color w:val="000000"/>
          <w:kern w:val="0"/>
          <w:sz w:val="24"/>
          <w:szCs w:val="24"/>
          <w:lang w:val="en-US" w:eastAsia="zh-CN" w:bidi="ar"/>
        </w:rPr>
        <w:t>正确的忠诚目标客户就是那些愿意并且能够对会展企业忠诚，也能够为会展企业带来利润的客户。 参展商有很多类别， 不同的参展商带给企业的利益是不同的。比如，对于那些行业内有影响力。有价值的参展商，会展企业就应该尽可能地将其发展为忠诚客户和长期合作关系。当然，企业要想实施客户忠诚策略，还应该为会展客户提供满意的参展经历，加强与客户的情感联系。 客户满意是客户忠诚的前提， 参展商和观众只有参展满意， 才有可能参加下一次会展，才有可能对会展企业忠诚。 忠诚客户的培育也离不开与客户的情感交流和联系。会展企业需要加强与客户的情感沟通， 维持与客户较好的长期合作关系。</w:t>
      </w:r>
    </w:p>
    <w:p>
      <w:pPr>
        <w:pStyle w:val="4"/>
        <w:keepNext/>
        <w:keepLines/>
        <w:pageBreakBefore w:val="0"/>
        <w:widowControl w:val="0"/>
        <w:kinsoku/>
        <w:wordWrap/>
        <w:overflowPunct/>
        <w:topLinePunct w:val="0"/>
        <w:autoSpaceDE/>
        <w:autoSpaceDN/>
        <w:bidi w:val="0"/>
        <w:adjustRightInd/>
        <w:snapToGrid/>
        <w:spacing w:line="240" w:lineRule="exact"/>
        <w:textAlignment w:val="auto"/>
        <w:rPr>
          <w:rFonts w:hint="eastAsia"/>
          <w:lang w:val="en-US" w:eastAsia="zh-CN"/>
        </w:rPr>
      </w:pPr>
      <w:r>
        <w:rPr>
          <w:rFonts w:hint="eastAsia"/>
          <w:lang w:val="en-US" w:eastAsia="zh-CN"/>
        </w:rPr>
        <w:t>4.制定客户方案，实施定制服务</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这一流程是在全面收集客户信息的基础上，预先确定专门的会展活动，制定服务计划。这就加强了会展企业营销人员以及会展服务团队在展前的有效准备和展中的针对性服务，提高了会展企业在客户互动中的投资机会。在这一流程中会展企业通常要使用营销宣传策略，向目标客户输送展会各项服务信息，以吸引客户的注意力。</w:t>
      </w:r>
    </w:p>
    <w:p>
      <w:pPr>
        <w:pStyle w:val="4"/>
        <w:keepNext/>
        <w:keepLines/>
        <w:pageBreakBefore w:val="0"/>
        <w:widowControl w:val="0"/>
        <w:kinsoku/>
        <w:wordWrap/>
        <w:overflowPunct/>
        <w:topLinePunct w:val="0"/>
        <w:autoSpaceDE/>
        <w:autoSpaceDN/>
        <w:bidi w:val="0"/>
        <w:adjustRightInd/>
        <w:snapToGrid/>
        <w:spacing w:line="240" w:lineRule="exact"/>
        <w:textAlignment w:val="auto"/>
        <w:rPr>
          <w:rFonts w:hint="eastAsia"/>
          <w:lang w:val="en-US" w:eastAsia="zh-CN"/>
        </w:rPr>
      </w:pPr>
      <w:r>
        <w:rPr>
          <w:rFonts w:hint="eastAsia"/>
          <w:lang w:val="en-US" w:eastAsia="zh-CN"/>
        </w:rPr>
        <w:t>5.分析客户反应，改善客户关系。</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ascii="黑体" w:hAnsi="宋体" w:eastAsia="黑体"/>
          <w:sz w:val="36"/>
          <w:szCs w:val="36"/>
        </w:rPr>
      </w:pPr>
      <w:r>
        <w:rPr>
          <w:rFonts w:hint="eastAsia" w:asciiTheme="minorEastAsia" w:hAnsiTheme="minorEastAsia" w:eastAsiaTheme="minorEastAsia" w:cstheme="minorEastAsia"/>
          <w:color w:val="000000"/>
          <w:kern w:val="0"/>
          <w:sz w:val="24"/>
          <w:szCs w:val="24"/>
          <w:lang w:val="en-US" w:eastAsia="zh-CN" w:bidi="ar"/>
        </w:rPr>
        <w:t>这是会展企业通过与客户的对话不断学习的过程。会展企业通过捕捉和分析来自于客户互动中的数据，理解客户对企业各项营销措施所产生的具体反应，为下一个CRM循环提出新的建议，以此不断改善会展企业的客户关系。会展客户关系管理是在收集客户信息和分析客户需求的基础上,通过办展机构的资源整合和有针对性地对不同客户提供个性化的展会服务,与客户建立互利、互信和合作双赢的关系来促进会展长期稳定发展。有效的开展会展客户管理一定会使中国的会展业取得更大的进步。</w:t>
      </w:r>
    </w:p>
    <w:tbl>
      <w:tblPr>
        <w:tblStyle w:val="8"/>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01" w:hRule="atLeast"/>
        </w:trPr>
        <w:tc>
          <w:tcPr>
            <w:tcW w:w="8280" w:type="dxa"/>
          </w:tcPr>
          <w:p>
            <w:pPr>
              <w:rPr>
                <w:rFonts w:ascii="黑体" w:hAnsi="宋体" w:eastAsia="黑体"/>
                <w:sz w:val="36"/>
                <w:szCs w:val="36"/>
              </w:rPr>
            </w:pPr>
            <w:r>
              <w:rPr>
                <w:rFonts w:hint="eastAsia" w:ascii="黑体" w:hAnsi="宋体" w:eastAsia="黑体"/>
                <w:sz w:val="36"/>
                <w:szCs w:val="36"/>
              </w:rPr>
              <w:t>评语：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7" w:hRule="atLeast"/>
        </w:trPr>
        <w:tc>
          <w:tcPr>
            <w:tcW w:w="8280" w:type="dxa"/>
          </w:tcPr>
          <w:p>
            <w:pPr>
              <w:rPr>
                <w:rFonts w:ascii="黑体" w:hAnsi="宋体" w:eastAsia="黑体"/>
                <w:sz w:val="36"/>
                <w:szCs w:val="36"/>
              </w:rPr>
            </w:pPr>
            <w:r>
              <w:rPr>
                <w:rFonts w:hint="eastAsia" w:ascii="黑体" w:hAnsi="宋体" w:eastAsia="黑体"/>
                <w:sz w:val="36"/>
                <w:szCs w:val="36"/>
              </w:rPr>
              <w:t>成绩：</w:t>
            </w:r>
          </w:p>
          <w:p>
            <w:pPr>
              <w:rPr>
                <w:rFonts w:ascii="黑体" w:hAnsi="宋体" w:eastAsia="黑体"/>
                <w:sz w:val="36"/>
                <w:szCs w:val="36"/>
              </w:rPr>
            </w:pPr>
          </w:p>
          <w:p>
            <w:pPr>
              <w:rPr>
                <w:rFonts w:ascii="黑体" w:hAnsi="宋体" w:eastAsia="黑体"/>
                <w:sz w:val="36"/>
                <w:szCs w:val="36"/>
              </w:rPr>
            </w:pPr>
          </w:p>
          <w:p>
            <w:pPr>
              <w:rPr>
                <w:rFonts w:ascii="黑体" w:hAnsi="宋体" w:eastAsia="黑体"/>
                <w:sz w:val="36"/>
                <w:szCs w:val="36"/>
              </w:rPr>
            </w:pPr>
          </w:p>
          <w:p>
            <w:pPr>
              <w:ind w:firstLine="4160" w:firstLineChars="1300"/>
              <w:rPr>
                <w:rFonts w:ascii="宋体" w:hAnsi="宋体"/>
                <w:sz w:val="32"/>
                <w:szCs w:val="32"/>
              </w:rPr>
            </w:pPr>
            <w:r>
              <w:rPr>
                <w:rFonts w:hint="eastAsia" w:ascii="宋体" w:hAnsi="宋体"/>
                <w:sz w:val="32"/>
                <w:szCs w:val="32"/>
              </w:rPr>
              <w:t>教师签字：</w:t>
            </w:r>
          </w:p>
          <w:p>
            <w:pPr>
              <w:ind w:firstLine="5280" w:firstLineChars="1650"/>
              <w:rPr>
                <w:rFonts w:ascii="黑体" w:hAnsi="宋体" w:eastAsia="黑体"/>
                <w:sz w:val="36"/>
                <w:szCs w:val="36"/>
              </w:rPr>
            </w:pPr>
            <w:r>
              <w:rPr>
                <w:rFonts w:hint="eastAsia" w:ascii="宋体" w:hAnsi="宋体"/>
                <w:sz w:val="32"/>
                <w:szCs w:val="32"/>
              </w:rPr>
              <w:t>年  月  日</w:t>
            </w:r>
          </w:p>
        </w:tc>
      </w:tr>
    </w:tbl>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TSongStd-Light-Ac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DDA0F5"/>
    <w:multiLevelType w:val="singleLevel"/>
    <w:tmpl w:val="93DDA0F5"/>
    <w:lvl w:ilvl="0" w:tentative="0">
      <w:start w:val="2"/>
      <w:numFmt w:val="decimal"/>
      <w:lvlText w:val="%1."/>
      <w:lvlJc w:val="left"/>
      <w:pPr>
        <w:tabs>
          <w:tab w:val="left" w:pos="312"/>
        </w:tabs>
      </w:pPr>
    </w:lvl>
  </w:abstractNum>
  <w:abstractNum w:abstractNumId="1">
    <w:nsid w:val="C6965A81"/>
    <w:multiLevelType w:val="singleLevel"/>
    <w:tmpl w:val="C6965A81"/>
    <w:lvl w:ilvl="0" w:tentative="0">
      <w:start w:val="5"/>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7745B"/>
    <w:rsid w:val="03434329"/>
    <w:rsid w:val="05FA10D5"/>
    <w:rsid w:val="06330EFB"/>
    <w:rsid w:val="0A332B5E"/>
    <w:rsid w:val="0D545433"/>
    <w:rsid w:val="0DA42B23"/>
    <w:rsid w:val="11903BBB"/>
    <w:rsid w:val="11957AE9"/>
    <w:rsid w:val="12D13E35"/>
    <w:rsid w:val="147F186B"/>
    <w:rsid w:val="154F29B4"/>
    <w:rsid w:val="157F3DF8"/>
    <w:rsid w:val="163506A0"/>
    <w:rsid w:val="1C5104CF"/>
    <w:rsid w:val="1CE372D9"/>
    <w:rsid w:val="1DE63717"/>
    <w:rsid w:val="1EF67666"/>
    <w:rsid w:val="23A701E3"/>
    <w:rsid w:val="26077FA4"/>
    <w:rsid w:val="2693757C"/>
    <w:rsid w:val="26F779B2"/>
    <w:rsid w:val="27F51086"/>
    <w:rsid w:val="30CD6E9F"/>
    <w:rsid w:val="33E8566E"/>
    <w:rsid w:val="35684601"/>
    <w:rsid w:val="37D43856"/>
    <w:rsid w:val="37E92034"/>
    <w:rsid w:val="393A2212"/>
    <w:rsid w:val="397C2A8D"/>
    <w:rsid w:val="3BAC7B23"/>
    <w:rsid w:val="3DAC7898"/>
    <w:rsid w:val="3E8319AD"/>
    <w:rsid w:val="42166F73"/>
    <w:rsid w:val="43C9035C"/>
    <w:rsid w:val="463624DE"/>
    <w:rsid w:val="470D2CB9"/>
    <w:rsid w:val="480642DD"/>
    <w:rsid w:val="4A1347A7"/>
    <w:rsid w:val="4A1B624F"/>
    <w:rsid w:val="4C927960"/>
    <w:rsid w:val="5175378F"/>
    <w:rsid w:val="51E84C7C"/>
    <w:rsid w:val="52CD3C7E"/>
    <w:rsid w:val="53323E86"/>
    <w:rsid w:val="53426B69"/>
    <w:rsid w:val="53974E9B"/>
    <w:rsid w:val="557B578C"/>
    <w:rsid w:val="559967B8"/>
    <w:rsid w:val="57E127D8"/>
    <w:rsid w:val="586D52DE"/>
    <w:rsid w:val="58A83B38"/>
    <w:rsid w:val="58C97C2B"/>
    <w:rsid w:val="58EA1A3F"/>
    <w:rsid w:val="5982571C"/>
    <w:rsid w:val="5AE31AA9"/>
    <w:rsid w:val="5C2F1490"/>
    <w:rsid w:val="5CE23D20"/>
    <w:rsid w:val="5FA76C05"/>
    <w:rsid w:val="63710213"/>
    <w:rsid w:val="649B3FF5"/>
    <w:rsid w:val="6827601A"/>
    <w:rsid w:val="6C1A383D"/>
    <w:rsid w:val="6C1A3D96"/>
    <w:rsid w:val="6DA06B65"/>
    <w:rsid w:val="71FD74A1"/>
    <w:rsid w:val="77D53182"/>
    <w:rsid w:val="79D1635E"/>
    <w:rsid w:val="7A352184"/>
    <w:rsid w:val="7AC64AC6"/>
    <w:rsid w:val="7D1106CF"/>
    <w:rsid w:val="7F1C2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黑体"/>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sz w:val="24"/>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sz w:val="24"/>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nhideWhenUsed/>
    <w:qFormat/>
    <w:uiPriority w:val="99"/>
    <w:pPr>
      <w:spacing w:before="100" w:beforeAutospacing="1" w:after="100" w:afterAutospacing="1"/>
      <w:ind w:left="0" w:right="0"/>
      <w:jc w:val="left"/>
    </w:pPr>
    <w:rPr>
      <w:kern w:val="0"/>
      <w:sz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2020-08-12T10:51:00Z</dcterms:created>
  <dc:creator>Administrator</dc:creator>
  <cp:lastModifiedBy>　ゝSo`1ong。</cp:lastModifiedBy>
  <dcterms:modified xsi:type="dcterms:W3CDTF">2020-08-13T06:17:11Z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