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会展管理（独立本科段B020180）专业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outlineLvl w:val="2"/>
        <w:rPr>
          <w:rFonts w:ascii="黑体" w:hAnsi="黑体" w:eastAsia="黑体" w:cs="Helvetica"/>
          <w:b/>
          <w:color w:val="000000"/>
          <w:kern w:val="0"/>
          <w:sz w:val="30"/>
          <w:szCs w:val="30"/>
        </w:rPr>
      </w:pPr>
      <w:r>
        <w:rPr>
          <w:rFonts w:hint="eastAsia"/>
          <w:b/>
          <w:sz w:val="30"/>
          <w:szCs w:val="30"/>
        </w:rPr>
        <w:t>会展管理信息系统（实践、课程代码：08891）实践环节考核要求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Helvetica"/>
          <w:b/>
          <w:bCs/>
          <w:color w:val="000000"/>
          <w:kern w:val="0"/>
          <w:sz w:val="28"/>
          <w:szCs w:val="28"/>
        </w:rPr>
        <w:t>一、考核内容</w:t>
      </w:r>
    </w:p>
    <w:p>
      <w:pPr>
        <w:widowControl/>
        <w:adjustRightInd w:val="0"/>
        <w:snapToGrid w:val="0"/>
        <w:spacing w:line="300" w:lineRule="auto"/>
        <w:ind w:firstLine="475" w:firstLineChars="198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分析某会展企业的管理信息系统的应用方案，培养学生掌握会展信息系统的应用，通过实践使学生具有分析和解决会展信息系统规划、分析、设计、实施及维护管理中的实际问题的初步能力。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Helvetica"/>
          <w:b/>
          <w:bCs/>
          <w:color w:val="000000"/>
          <w:kern w:val="0"/>
          <w:sz w:val="28"/>
          <w:szCs w:val="28"/>
        </w:rPr>
        <w:t>二、基本要求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1、题目为：×××公司（会展企业名称）会展管理信息系统的应用方案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 xml:space="preserve">2、正文：分如下几部分。    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ascii="宋体" w:hAnsi="宋体" w:cs="Helvetica"/>
          <w:color w:val="000000"/>
          <w:kern w:val="0"/>
          <w:sz w:val="24"/>
        </w:rPr>
        <w:t>A</w:t>
      </w:r>
      <w:r>
        <w:rPr>
          <w:rFonts w:hint="eastAsia" w:ascii="宋体" w:hAnsi="宋体" w:cs="Helvetica"/>
          <w:color w:val="000000"/>
          <w:kern w:val="0"/>
          <w:sz w:val="24"/>
        </w:rPr>
        <w:t xml:space="preserve">．方案目标：针对本企业，写明此应用方案的具体目的，要达到什么效果，形成什么影响等。 </w:t>
      </w:r>
    </w:p>
    <w:p>
      <w:pPr>
        <w:widowControl/>
        <w:adjustRightInd w:val="0"/>
        <w:snapToGrid w:val="0"/>
        <w:spacing w:line="300" w:lineRule="auto"/>
        <w:ind w:left="345" w:leftChars="50" w:hanging="240" w:hangingChars="10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ascii="宋体" w:hAnsi="宋体" w:cs="Helvetica"/>
          <w:color w:val="000000"/>
          <w:kern w:val="0"/>
          <w:sz w:val="24"/>
        </w:rPr>
        <w:t>B</w:t>
      </w:r>
      <w:r>
        <w:rPr>
          <w:rFonts w:hint="eastAsia" w:ascii="宋体" w:hAnsi="宋体" w:cs="Helvetica"/>
          <w:color w:val="000000"/>
          <w:kern w:val="0"/>
          <w:sz w:val="24"/>
        </w:rPr>
        <w:t xml:space="preserve">．方案内容：这是应用方案最主要的部分，这部分详述应用方案的基本情况、做法、经验，以及分析此应用方案在本企业的管理信息系统中的重要作用。    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ascii="宋体" w:hAnsi="宋体" w:cs="Helvetica"/>
          <w:color w:val="000000"/>
          <w:kern w:val="0"/>
          <w:sz w:val="24"/>
        </w:rPr>
        <w:t>C</w:t>
      </w:r>
      <w:r>
        <w:rPr>
          <w:rFonts w:hint="eastAsia" w:ascii="宋体" w:hAnsi="宋体" w:cs="Helvetica"/>
          <w:color w:val="000000"/>
          <w:kern w:val="0"/>
          <w:sz w:val="24"/>
        </w:rPr>
        <w:t>．方案参与者：简述都需要哪些人参与此方案，并说明原因。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D．方案实施方式：分析此应用方案的实施步骤、分工、资源分配、进度安排等。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E．方案费用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F．实施进度监督安排</w:t>
      </w:r>
    </w:p>
    <w:p>
      <w:pPr>
        <w:widowControl/>
        <w:adjustRightInd w:val="0"/>
        <w:snapToGrid w:val="0"/>
        <w:spacing w:line="300" w:lineRule="auto"/>
        <w:ind w:firstLine="120" w:firstLineChars="50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G．备用方案</w:t>
      </w:r>
    </w:p>
    <w:p>
      <w:pPr>
        <w:widowControl/>
        <w:adjustRightInd w:val="0"/>
        <w:snapToGrid w:val="0"/>
        <w:spacing w:line="300" w:lineRule="auto"/>
        <w:ind w:firstLine="475" w:firstLineChars="198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正文部分可根据所研究的会展企业自行添加内容，不可缺少的模块是：方案目标、方案内容、方案实施方式。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3、字数要求：2000字左右。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FF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4、</w:t>
      </w:r>
      <w:r>
        <w:rPr>
          <w:rFonts w:ascii="宋体" w:hAnsi="宋体" w:cs="Helvetica"/>
          <w:color w:val="000000"/>
          <w:kern w:val="0"/>
          <w:sz w:val="24"/>
        </w:rPr>
        <w:t>文内标题层次一般不超过3个层次：</w:t>
      </w:r>
      <w:r>
        <w:rPr>
          <w:rFonts w:ascii="宋体" w:hAnsi="宋体" w:cs="Helvetica"/>
          <w:color w:val="FF0000"/>
          <w:kern w:val="0"/>
          <w:sz w:val="24"/>
        </w:rPr>
        <w:t>一级标题：黑体，</w:t>
      </w:r>
      <w:r>
        <w:rPr>
          <w:rFonts w:hint="eastAsia" w:ascii="宋体" w:hAnsi="宋体" w:cs="Helvetica"/>
          <w:color w:val="FF0000"/>
          <w:kern w:val="0"/>
          <w:sz w:val="24"/>
        </w:rPr>
        <w:t>四</w:t>
      </w:r>
      <w:r>
        <w:rPr>
          <w:rFonts w:ascii="宋体" w:hAnsi="宋体" w:cs="Helvetica"/>
          <w:color w:val="FF0000"/>
          <w:kern w:val="0"/>
          <w:sz w:val="24"/>
        </w:rPr>
        <w:t>号；二级标题：</w:t>
      </w:r>
      <w:r>
        <w:rPr>
          <w:rFonts w:hint="eastAsia" w:ascii="宋体" w:hAnsi="宋体" w:cs="Helvetica"/>
          <w:color w:val="FF0000"/>
          <w:kern w:val="0"/>
          <w:sz w:val="24"/>
        </w:rPr>
        <w:t>黑</w:t>
      </w:r>
      <w:r>
        <w:rPr>
          <w:rFonts w:ascii="宋体" w:hAnsi="宋体" w:cs="Helvetica"/>
          <w:color w:val="FF0000"/>
          <w:kern w:val="0"/>
          <w:sz w:val="24"/>
        </w:rPr>
        <w:t>体，</w:t>
      </w:r>
      <w:r>
        <w:rPr>
          <w:rFonts w:hint="eastAsia" w:ascii="宋体" w:hAnsi="宋体" w:cs="Helvetica"/>
          <w:color w:val="FF0000"/>
          <w:kern w:val="0"/>
          <w:sz w:val="24"/>
        </w:rPr>
        <w:t>小</w:t>
      </w:r>
      <w:r>
        <w:rPr>
          <w:rFonts w:ascii="宋体" w:hAnsi="宋体" w:cs="Helvetica"/>
          <w:color w:val="FF0000"/>
          <w:kern w:val="0"/>
          <w:sz w:val="24"/>
        </w:rPr>
        <w:t>四号；</w:t>
      </w:r>
      <w:r>
        <w:rPr>
          <w:rFonts w:ascii="Arial" w:hAnsi="Arial" w:cs="Arial"/>
          <w:color w:val="FF0000"/>
          <w:kern w:val="0"/>
          <w:sz w:val="24"/>
        </w:rPr>
        <w:t>以下层次的所有标题用小四宋体</w:t>
      </w:r>
      <w:r>
        <w:rPr>
          <w:rFonts w:ascii="宋体" w:hAnsi="宋体" w:cs="Helvetica"/>
          <w:color w:val="FF0000"/>
          <w:kern w:val="0"/>
          <w:sz w:val="24"/>
        </w:rPr>
        <w:t>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5、</w:t>
      </w:r>
      <w:r>
        <w:rPr>
          <w:rFonts w:ascii="宋体" w:hAnsi="宋体" w:cs="Helvetica"/>
          <w:color w:val="000000"/>
          <w:kern w:val="0"/>
          <w:sz w:val="24"/>
        </w:rPr>
        <w:t>正文字体：正文采用小四号宋</w:t>
      </w:r>
      <w:r>
        <w:rPr>
          <w:sz w:val="24"/>
        </w:rPr>
        <w:t>体，</w:t>
      </w:r>
      <w:r>
        <w:rPr>
          <w:rFonts w:hint="eastAsia" w:ascii="宋体" w:hAnsi="宋体"/>
          <w:color w:val="FF0000"/>
          <w:sz w:val="24"/>
        </w:rPr>
        <w:t>正文行距为固定值23磅</w:t>
      </w:r>
      <w:r>
        <w:rPr>
          <w:sz w:val="24"/>
        </w:rPr>
        <w:t>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Helvetica"/>
          <w:b/>
          <w:bCs/>
          <w:color w:val="000000"/>
          <w:kern w:val="0"/>
          <w:sz w:val="28"/>
          <w:szCs w:val="28"/>
        </w:rPr>
        <w:t>三、考核指标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1、写作格式是否规范，调查态度是否认真。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2、字数是否达到要求。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3、是否有抄袭现象及抄袭程度。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color w:val="000000"/>
          <w:kern w:val="0"/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4、调查的广度和深度如何。</w:t>
      </w:r>
    </w:p>
    <w:p>
      <w:pPr>
        <w:widowControl/>
        <w:adjustRightInd w:val="0"/>
        <w:snapToGrid w:val="0"/>
        <w:spacing w:line="300" w:lineRule="auto"/>
        <w:jc w:val="left"/>
        <w:outlineLvl w:val="2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Helvetica"/>
          <w:b/>
          <w:bCs/>
          <w:color w:val="000000"/>
          <w:kern w:val="0"/>
          <w:sz w:val="28"/>
          <w:szCs w:val="28"/>
        </w:rPr>
        <w:t>四、考核成绩</w:t>
      </w:r>
    </w:p>
    <w:p>
      <w:pPr>
        <w:widowControl/>
        <w:adjustRightInd w:val="0"/>
        <w:snapToGrid w:val="0"/>
        <w:spacing w:line="300" w:lineRule="auto"/>
        <w:ind w:firstLine="475" w:firstLineChars="198"/>
        <w:jc w:val="left"/>
        <w:outlineLvl w:val="2"/>
        <w:rPr>
          <w:sz w:val="24"/>
        </w:rPr>
      </w:pPr>
      <w:r>
        <w:rPr>
          <w:rFonts w:hint="eastAsia" w:ascii="宋体" w:hAnsi="宋体" w:cs="Helvetica"/>
          <w:color w:val="000000"/>
          <w:kern w:val="0"/>
          <w:sz w:val="24"/>
        </w:rPr>
        <w:t>考核成绩分为优秀、良好、中等、及格和不及格五档，成绩由评阅教师按照考核指标给出。</w:t>
      </w:r>
    </w:p>
    <w:p>
      <w:pPr>
        <w:ind w:left="420" w:leftChars="200" w:firstLine="480" w:firstLineChars="2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按照百分制算</w:t>
      </w:r>
      <w:r>
        <w:rPr>
          <w:sz w:val="24"/>
        </w:rPr>
        <w:t xml:space="preserve">: </w:t>
      </w:r>
      <w:r>
        <w:rPr>
          <w:rFonts w:hint="eastAsia"/>
          <w:sz w:val="24"/>
        </w:rPr>
        <w:t>优秀</w:t>
      </w:r>
      <w:r>
        <w:rPr>
          <w:sz w:val="24"/>
        </w:rPr>
        <w:t xml:space="preserve">   100-90</w:t>
      </w:r>
      <w:r>
        <w:rPr>
          <w:rFonts w:hint="eastAsia"/>
          <w:sz w:val="24"/>
        </w:rPr>
        <w:t>分</w:t>
      </w:r>
    </w:p>
    <w:p>
      <w:pPr>
        <w:ind w:left="420" w:leftChars="200" w:firstLine="480" w:firstLineChars="200"/>
        <w:rPr>
          <w:sz w:val="24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良好</w:t>
      </w:r>
      <w:r>
        <w:rPr>
          <w:sz w:val="24"/>
        </w:rPr>
        <w:t xml:space="preserve">   90-80</w:t>
      </w:r>
      <w:r>
        <w:rPr>
          <w:rFonts w:hint="eastAsia"/>
          <w:sz w:val="24"/>
        </w:rPr>
        <w:t>分</w:t>
      </w:r>
    </w:p>
    <w:p>
      <w:pPr>
        <w:ind w:left="420" w:leftChars="200" w:firstLine="480" w:firstLineChars="200"/>
        <w:rPr>
          <w:sz w:val="24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中等</w:t>
      </w:r>
      <w:r>
        <w:rPr>
          <w:sz w:val="24"/>
        </w:rPr>
        <w:t xml:space="preserve">   80-70</w:t>
      </w:r>
      <w:r>
        <w:rPr>
          <w:rFonts w:hint="eastAsia"/>
          <w:sz w:val="24"/>
        </w:rPr>
        <w:t>分</w:t>
      </w:r>
    </w:p>
    <w:p>
      <w:pPr>
        <w:ind w:left="420" w:leftChars="200" w:firstLine="480" w:firstLineChars="200"/>
        <w:rPr>
          <w:sz w:val="24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及格</w:t>
      </w:r>
      <w:r>
        <w:rPr>
          <w:sz w:val="24"/>
        </w:rPr>
        <w:t xml:space="preserve">   70-60</w:t>
      </w:r>
      <w:r>
        <w:rPr>
          <w:rFonts w:hint="eastAsia"/>
          <w:sz w:val="24"/>
        </w:rPr>
        <w:t>分</w:t>
      </w:r>
    </w:p>
    <w:p>
      <w:pPr>
        <w:ind w:left="420" w:leftChars="200" w:firstLine="480" w:firstLineChars="200"/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不及格</w:t>
      </w:r>
      <w:r>
        <w:rPr>
          <w:sz w:val="24"/>
        </w:rPr>
        <w:t xml:space="preserve"> 59-0</w:t>
      </w:r>
      <w:r>
        <w:rPr>
          <w:rFonts w:hint="eastAsia"/>
          <w:sz w:val="24"/>
        </w:rPr>
        <w:t>分</w:t>
      </w:r>
    </w:p>
    <w:p>
      <w:pPr>
        <w:ind w:left="420" w:leftChars="200" w:firstLine="480" w:firstLineChars="20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6C23"/>
    <w:rsid w:val="000C2D72"/>
    <w:rsid w:val="000E178A"/>
    <w:rsid w:val="00165992"/>
    <w:rsid w:val="00345EC3"/>
    <w:rsid w:val="005701AA"/>
    <w:rsid w:val="005729A2"/>
    <w:rsid w:val="00663B11"/>
    <w:rsid w:val="006A016C"/>
    <w:rsid w:val="00726572"/>
    <w:rsid w:val="00876940"/>
    <w:rsid w:val="008B78E2"/>
    <w:rsid w:val="009C1C35"/>
    <w:rsid w:val="009C42BF"/>
    <w:rsid w:val="009E788F"/>
    <w:rsid w:val="00A769CA"/>
    <w:rsid w:val="00A96641"/>
    <w:rsid w:val="00AA638B"/>
    <w:rsid w:val="00AC2871"/>
    <w:rsid w:val="00AC28A8"/>
    <w:rsid w:val="00B96C23"/>
    <w:rsid w:val="00C77F4A"/>
    <w:rsid w:val="00D3738C"/>
    <w:rsid w:val="00D9598E"/>
    <w:rsid w:val="00E3166B"/>
    <w:rsid w:val="00EB5D61"/>
    <w:rsid w:val="00EB731D"/>
    <w:rsid w:val="00EE50CC"/>
    <w:rsid w:val="00F83C13"/>
    <w:rsid w:val="73A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123</Words>
  <Characters>706</Characters>
  <Lines>5</Lines>
  <Paragraphs>1</Paragraphs>
  <TotalTime>14</TotalTime>
  <ScaleCrop>false</ScaleCrop>
  <LinksUpToDate>false</LinksUpToDate>
  <CharactersWithSpaces>828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2014-07-14T06:00:00Z</dcterms:created>
  <dc:creator>Sky123.Org</dc:creator>
  <cp:lastModifiedBy>张夏君</cp:lastModifiedBy>
  <dcterms:modified xsi:type="dcterms:W3CDTF">2020-08-06T02:12:41Z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