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Technical note — Block 1</w:t>
      </w:r>
    </w:p>
    <w:p>
      <w:pPr>
        <w:spacing w:after="160"/>
      </w:pPr>
      <w:r>
        <w:rPr>
          <w:color w:val="444444"/>
          <w:sz w:val="26"/>
          <w:szCs w:val="26"/>
        </w:rPr>
        <w:t xml:space="preserve">Group 12 · Rheinmetall AG</w:t>
      </w:r>
    </w:p>
    <w:p>
      <w:pPr>
        <w:spacing w:after="40"/>
      </w:pPr>
      <w:r>
        <w:rPr>
          <w:b/>
          <w:bCs/>
          <w:color w:val="444444"/>
          <w:sz w:val="18"/>
          <w:szCs w:val="18"/>
        </w:rPr>
        <w:t xml:space="preserve">Course: </w:t>
      </w:r>
      <w:r>
        <w:rPr>
          <w:color w:val="444444"/>
          <w:sz w:val="18"/>
          <w:szCs w:val="18"/>
        </w:rPr>
        <w:t xml:space="preserve">20221 Financial Statement Analysis (Advanced Course), A.Y. 2026/2027 — Group project, Block 1 (Module A)</w:t>
      </w:r>
    </w:p>
    <w:p>
      <w:pPr>
        <w:spacing w:after="40"/>
      </w:pPr>
      <w:r>
        <w:rPr>
          <w:b/>
          <w:bCs/>
          <w:color w:val="444444"/>
          <w:sz w:val="18"/>
          <w:szCs w:val="18"/>
        </w:rPr>
        <w:t xml:space="preserve">Files reviewed: </w:t>
      </w:r>
      <w:r>
        <w:rPr>
          <w:color w:val="444444"/>
          <w:sz w:val="18"/>
          <w:szCs w:val="18"/>
        </w:rPr>
        <w:t xml:space="preserve">G12_B1_Agent_v1.0.md; G12_B1_Workbook.xlsx; G12_B1_Output.pdf; G12_B1_Log.xlsx; G12_B1_Note.pdf</w:t>
      </w:r>
    </w:p>
    <w:p>
      <w:pPr>
        <w:pBdr>
          <w:bottom w:val="single" w:color="1F3864" w:sz="6" w:space="6"/>
        </w:pBdr>
        <w:spacing w:after="120"/>
      </w:pPr>
      <w:r>
        <w:rPr>
          <w:i/>
          <w:iCs/>
          <w:color w:val="444444"/>
          <w:sz w:val="18"/>
          <w:szCs w:val="18"/>
        </w:rPr>
        <w:t xml:space="preserve">Prepared with Claude Fable 5.1 and reviewed by the instructors (Pietro Bianchi, Nicola Pecchiari). No grade is attached to Block 1.</w:t>
      </w:r>
    </w:p>
    <w:p>
      <w:pPr>
        <w:pStyle w:val="Heading2"/>
      </w:pPr>
      <w:r>
        <w:t xml:space="preserve">1. Strengths</w:t>
      </w:r>
    </w:p>
    <w:p>
      <w:pPr>
        <w:tabs>
          <w:tab w:val="left" w:pos="397"/>
        </w:tabs>
        <w:spacing w:after="90" w:line="252"/>
        <w:ind w:left="397" w:hanging="397"/>
        <w:jc w:val="both"/>
      </w:pPr>
      <w:r>
        <w:rPr>
          <w:b/>
          <w:bCs/>
          <w:color w:val="1F3864"/>
        </w:rPr>
        <w:t xml:space="preserve">1.</w:t>
      </w:r>
      <w:r>
        <w:t xml:space="preserve">	</w:t>
      </w:r>
      <w:r>
        <w:rPr>
          <w:b/>
          <w:bCs/>
        </w:rPr>
        <w:t xml:space="preserve">Reformulation engine.</w:t>
      </w:r>
      <w:r>
        <w:t xml:space="preserve"> The most technically capable in the class: extraction exact to the euro and to the page, every note broken down component by component with a "rounding / undisclosed difference" line, fused footnotes caught, a 203-figure manual cross-check.</w:t>
      </w:r>
    </w:p>
    <w:p>
      <w:pPr>
        <w:tabs>
          <w:tab w:val="left" w:pos="397"/>
        </w:tabs>
        <w:spacing w:after="90" w:line="252"/>
        <w:ind w:left="397" w:hanging="397"/>
        <w:jc w:val="both"/>
      </w:pPr>
      <w:r>
        <w:rPr>
          <w:b/>
          <w:bCs/>
          <w:color w:val="1F3864"/>
        </w:rPr>
        <w:t xml:space="preserve">2.</w:t>
      </w:r>
      <w:r>
        <w:t xml:space="preserve">	</w:t>
      </w:r>
      <w:r>
        <w:rPr>
          <w:b/>
          <w:bCs/>
        </w:rPr>
        <w:t xml:space="preserve">Rheinmetall traps.</w:t>
      </w:r>
      <w:r>
        <w:t xml:space="preserve"> Contract liabilities operating; discontinued operations outside core; the €46m AIM gain and €15m blackned step-up found inside their lines; leases in debt; the IFRS 5 perimeter flagged on every 2024 balance-sheet ratio with same-perimeter memo lines; the company's "operating result" kept as a memo only.</w:t>
      </w:r>
    </w:p>
    <w:p>
      <w:pPr>
        <w:tabs>
          <w:tab w:val="left" w:pos="397"/>
        </w:tabs>
        <w:spacing w:after="90" w:line="252"/>
        <w:ind w:left="397" w:hanging="397"/>
        <w:jc w:val="both"/>
      </w:pPr>
      <w:r>
        <w:rPr>
          <w:b/>
          <w:bCs/>
          <w:color w:val="1F3864"/>
        </w:rPr>
        <w:t xml:space="preserve">3.</w:t>
      </w:r>
      <w:r>
        <w:t xml:space="preserve">	</w:t>
      </w:r>
      <w:r>
        <w:rPr>
          <w:b/>
          <w:bCs/>
        </w:rPr>
        <w:t xml:space="preserve">ROE decompositions and reading.</w:t>
      </w:r>
      <w:r>
        <w:t xml:space="preserve"> DuPont, three versions of M–M and Penman reconcile to 14.00%, 22.37% and 16.39%, and the readings name the right mechanisms: customer pre-financing, and the convertible conversion inflating the year-end cost of debt.</w:t>
      </w:r>
    </w:p>
    <w:p>
      <w:pPr>
        <w:tabs>
          <w:tab w:val="left" w:pos="397"/>
        </w:tabs>
        <w:spacing w:after="90" w:line="252"/>
        <w:ind w:left="397" w:hanging="397"/>
        <w:jc w:val="both"/>
      </w:pPr>
      <w:r>
        <w:rPr>
          <w:b/>
          <w:bCs/>
          <w:color w:val="1F3864"/>
        </w:rPr>
        <w:t xml:space="preserve">4.</w:t>
      </w:r>
      <w:r>
        <w:t xml:space="preserve">	</w:t>
      </w:r>
      <w:r>
        <w:rPr>
          <w:b/>
          <w:bCs/>
        </w:rPr>
        <w:t xml:space="preserve">Definitions.</w:t>
      </w:r>
      <w:r>
        <w:t xml:space="preserve"> M1–M22 and the declared-inputs list N1–N20 with a stop rule are the most precise we have seen at Block 1.</w:t>
      </w:r>
    </w:p>
    <w:p>
      <w:pPr>
        <w:tabs>
          <w:tab w:val="left" w:pos="397"/>
        </w:tabs>
        <w:spacing w:after="90" w:line="252"/>
        <w:ind w:left="397" w:hanging="397"/>
        <w:jc w:val="both"/>
      </w:pPr>
      <w:r>
        <w:rPr>
          <w:b/>
          <w:bCs/>
          <w:color w:val="1F3864"/>
        </w:rPr>
        <w:t xml:space="preserve">5.</w:t>
      </w:r>
      <w:r>
        <w:t xml:space="preserve">	</w:t>
      </w:r>
      <w:r>
        <w:rPr>
          <w:b/>
          <w:bCs/>
        </w:rPr>
        <w:t xml:space="preserve">Reproducibility of the workbook.</w:t>
      </w:r>
      <w:r>
        <w:t xml:space="preserve"> Running your prompt on the 2025 report alone reproduces every FY2024 figure and every balance-sheet figure in the workbook to the euro.</w:t>
      </w:r>
    </w:p>
    <w:p>
      <w:pPr>
        <w:pStyle w:val="Heading2"/>
      </w:pPr>
      <w:r>
        <w:t xml:space="preserve">2. Weaknesses</w:t>
      </w:r>
    </w:p>
    <w:p>
      <w:pPr>
        <w:tabs>
          <w:tab w:val="left" w:pos="397"/>
        </w:tabs>
        <w:spacing w:after="90" w:line="252"/>
        <w:ind w:left="397" w:hanging="397"/>
        <w:jc w:val="both"/>
      </w:pPr>
      <w:r>
        <w:rPr>
          <w:b/>
          <w:bCs/>
          <w:color w:val="1F3864"/>
        </w:rPr>
        <w:t xml:space="preserve">1.</w:t>
      </w:r>
      <w:r>
        <w:t xml:space="preserve">	</w:t>
      </w:r>
      <w:r>
        <w:rPr>
          <w:b/>
          <w:bCs/>
        </w:rPr>
        <w:t xml:space="preserve">Two outputs that contradict each other.</w:t>
      </w:r>
      <w:r>
        <w:t xml:space="preserve"> The submitted Output is a separate run on "explicit time-boxed instructions" that are not in the prompt, and it differs from the workbook on every reformulated line: core operating income 1,679m against 1,566m, NOIC 4,371m against 4,468m, NFP (326)m against (369)m. Your log records the divergence as eight defects. The Output also contains a cell reading "wait see note (8),(28) below", Penman tax rates (27.36% and others) that match nothing in the report, an unexplained €15m residual, and a "NOT FOUND" for R&amp;D expense although page 31 and note 18 give it.</w:t>
      </w:r>
    </w:p>
    <w:p>
      <w:pPr>
        <w:tabs>
          <w:tab w:val="left" w:pos="397"/>
        </w:tabs>
        <w:spacing w:after="90" w:line="252"/>
        <w:ind w:left="397" w:hanging="397"/>
        <w:jc w:val="both"/>
      </w:pPr>
      <w:r>
        <w:rPr>
          <w:b/>
          <w:bCs/>
          <w:color w:val="1F3864"/>
        </w:rPr>
        <w:t xml:space="preserve">2.</w:t>
      </w:r>
      <w:r>
        <w:t xml:space="preserve">	</w:t>
      </w:r>
      <w:r>
        <w:rPr>
          <w:b/>
          <w:bCs/>
        </w:rPr>
        <w:t xml:space="preserve">The €97m insurance-refund estimate.</w:t>
      </w:r>
      <w:r>
        <w:t xml:space="preserve"> It is the whole difference between a literal run (FY2025 core operating income 1,663m) and your workbook (1,566m). The prompt says keep it in core and flag it, forbids estimates in the master, and asks for an estimate in one bullet; your agent kept it (log row 6) and you overrode it by hand, asymmetrically (the compensated losses stay in core).</w:t>
      </w:r>
    </w:p>
    <w:p>
      <w:pPr>
        <w:tabs>
          <w:tab w:val="left" w:pos="397"/>
        </w:tabs>
        <w:spacing w:after="90" w:line="252"/>
        <w:ind w:left="397" w:hanging="397"/>
        <w:jc w:val="both"/>
      </w:pPr>
      <w:r>
        <w:rPr>
          <w:b/>
          <w:bCs/>
          <w:color w:val="1F3864"/>
        </w:rPr>
        <w:t xml:space="preserve">3.</w:t>
      </w:r>
      <w:r>
        <w:t xml:space="preserve">	</w:t>
      </w:r>
      <w:r>
        <w:rPr>
          <w:b/>
          <w:bCs/>
        </w:rPr>
        <w:t xml:space="preserve">Classification choices.</w:t>
      </w:r>
      <w:r>
        <w:t xml:space="preserve"> A recurring restructuring charge is treated as unusual; NFO of (395)m keeps associates and held-for-sale assets on the operating side, where the book's figure is about (1,267)m. Continuing-only capex is reported "not disclosed" although page 58 gives it (876/651).</w:t>
      </w:r>
    </w:p>
    <w:p>
      <w:pPr>
        <w:tabs>
          <w:tab w:val="left" w:pos="397"/>
        </w:tabs>
        <w:spacing w:after="90" w:line="252"/>
        <w:ind w:left="397" w:hanging="397"/>
        <w:jc w:val="both"/>
      </w:pPr>
      <w:r>
        <w:rPr>
          <w:b/>
          <w:bCs/>
          <w:color w:val="1F3864"/>
        </w:rPr>
        <w:t xml:space="preserve">4.</w:t>
      </w:r>
      <w:r>
        <w:t xml:space="preserve">	</w:t>
      </w:r>
      <w:r>
        <w:rPr>
          <w:b/>
          <w:bCs/>
        </w:rPr>
        <w:t xml:space="preserve">Log not written by the group.</w:t>
      </w:r>
      <w:r>
        <w:t xml:space="preserve"> The Agent Log was generated by script, contrary to your own prompt's rule that the group writes it, and every fix is deferred to v1.1. The workbook's 52-issue log tab is also in the agent's voice.</w:t>
      </w:r>
    </w:p>
    <w:p>
      <w:pPr>
        <w:tabs>
          <w:tab w:val="left" w:pos="397"/>
        </w:tabs>
        <w:spacing w:after="90" w:line="252"/>
        <w:ind w:left="397" w:hanging="397"/>
        <w:jc w:val="both"/>
      </w:pPr>
      <w:r>
        <w:rPr>
          <w:b/>
          <w:bCs/>
          <w:color w:val="1F3864"/>
        </w:rPr>
        <w:t xml:space="preserve">5.</w:t>
      </w:r>
      <w:r>
        <w:t xml:space="preserve">	</w:t>
      </w:r>
      <w:r>
        <w:rPr>
          <w:b/>
          <w:bCs/>
        </w:rPr>
        <w:t xml:space="preserve">Length and thresholds.</w:t>
      </w:r>
      <w:r>
        <w:t xml:space="preserve"> Module A runs to about 18,000 words, and S1 declines to set a single sector threshold.</w:t>
      </w:r>
    </w:p>
    <w:p>
      <w:pPr>
        <w:pStyle w:val="Heading2"/>
      </w:pPr>
      <w:r>
        <w:t xml:space="preserve">3. Recommendations for the rest of the project</w:t>
      </w:r>
    </w:p>
    <w:p>
      <w:pPr>
        <w:tabs>
          <w:tab w:val="left" w:pos="397"/>
        </w:tabs>
        <w:spacing w:after="90" w:line="252"/>
        <w:ind w:left="397" w:hanging="397"/>
        <w:jc w:val="both"/>
      </w:pPr>
      <w:r>
        <w:rPr>
          <w:b/>
          <w:bCs/>
          <w:color w:val="1F3864"/>
        </w:rPr>
        <w:t xml:space="preserve">1.</w:t>
      </w:r>
      <w:r>
        <w:t xml:space="preserve">	</w:t>
      </w:r>
      <w:r>
        <w:t xml:space="preserve">Produce the output from the workbook in one run, with no time box, and add a check row "output minus workbook = 0" for the fifteen headline items.</w:t>
      </w:r>
    </w:p>
    <w:p>
      <w:pPr>
        <w:tabs>
          <w:tab w:val="left" w:pos="397"/>
        </w:tabs>
        <w:spacing w:after="90" w:line="252"/>
        <w:ind w:left="397" w:hanging="397"/>
        <w:jc w:val="both"/>
      </w:pPr>
      <w:r>
        <w:rPr>
          <w:b/>
          <w:bCs/>
          <w:color w:val="1F3864"/>
        </w:rPr>
        <w:t xml:space="preserve">2.</w:t>
      </w:r>
      <w:r>
        <w:t xml:space="preserve">	</w:t>
      </w:r>
      <w:r>
        <w:t xml:space="preserve">Decide which rule wins on estimates and write it once; move refunds and the losses they compensate together.</w:t>
      </w:r>
    </w:p>
    <w:p>
      <w:pPr>
        <w:tabs>
          <w:tab w:val="left" w:pos="397"/>
        </w:tabs>
        <w:spacing w:after="90" w:line="252"/>
        <w:ind w:left="397" w:hanging="397"/>
        <w:jc w:val="both"/>
      </w:pPr>
      <w:r>
        <w:rPr>
          <w:b/>
          <w:bCs/>
          <w:color w:val="1F3864"/>
        </w:rPr>
        <w:t xml:space="preserve">3.</w:t>
      </w:r>
      <w:r>
        <w:t xml:space="preserve">	</w:t>
      </w:r>
      <w:r>
        <w:t xml:space="preserve">Cut Module A to the four or five pages of generic rules that survive a change of company, and add three defence-sector thresholds you can defend in a sentence each.</w:t>
      </w:r>
    </w:p>
    <w:p>
      <w:pPr>
        <w:tabs>
          <w:tab w:val="left" w:pos="397"/>
        </w:tabs>
        <w:spacing w:after="90" w:line="252"/>
        <w:ind w:left="397" w:hanging="397"/>
        <w:jc w:val="both"/>
      </w:pPr>
      <w:r>
        <w:rPr>
          <w:b/>
          <w:bCs/>
          <w:color w:val="1F3864"/>
        </w:rPr>
        <w:t xml:space="preserve">4.</w:t>
      </w:r>
      <w:r>
        <w:t xml:space="preserve">	</w:t>
      </w:r>
      <w:r>
        <w:t xml:space="preserve">Keep the log yourselves as the block goes on, one entry per defect, with the fix applied in the version logged.</w:t>
      </w:r>
    </w:p>
    <w:p>
      <w:pPr>
        <w:tabs>
          <w:tab w:val="left" w:pos="397"/>
        </w:tabs>
        <w:spacing w:after="90" w:line="252"/>
        <w:ind w:left="397" w:hanging="397"/>
        <w:jc w:val="both"/>
      </w:pPr>
      <w:r>
        <w:rPr>
          <w:b/>
          <w:bCs/>
          <w:color w:val="1F3864"/>
        </w:rPr>
        <w:t xml:space="preserve">5.</w:t>
      </w:r>
      <w:r>
        <w:t xml:space="preserve">	</w:t>
      </w:r>
      <w:r>
        <w:t xml:space="preserve">Your two questions. On pension interest: net interest on the pension liability is an interest component, so it never sits inside EBITDA. The cleaner home is net financial expenses, like lease interest; keeping it operating but below EBITDA is acceptable if you state it and apply it consistently. On the contribution margin: yes, an indicative CM is what we want, with each cost category assigned to fixed or variable and the assumption stated. "Not determinable" is not an acceptable answer.</w:t>
      </w:r>
    </w:p>
    <w:p>
      <w:pPr>
        <w:tabs>
          <w:tab w:val="left" w:pos="397"/>
        </w:tabs>
        <w:spacing w:after="90" w:line="252"/>
        <w:ind w:left="397" w:hanging="397"/>
        <w:jc w:val="both"/>
      </w:pPr>
      <w:r>
        <w:rPr>
          <w:b/>
          <w:bCs/>
          <w:color w:val="1F3864"/>
        </w:rPr>
        <w:t xml:space="preserve">6.</w:t>
      </w:r>
      <w:r>
        <w:t xml:space="preserve">	</w:t>
      </w:r>
      <w:r>
        <w:t xml:space="preserve">The workbook was written by the agent on a template reused from another company (it still carries a hidden Capital IQ cache of four fashion companies; the only human-typed analysis in it is two red NOTE cells). A workbook is not mandatory, but we strongly recommend building your own: you clearly know how to specify and audit an analyst, and the next step is to be one.</w:t>
      </w:r>
    </w:p>
    <w:sectPr>
      <w:footerReference w:type="default" r:id="rId7"/>
      <w:pgSz w:w="11906" w:h="16838" w:orient="portrait"/>
      <w:pgMar w:top="1077" w:right="1191" w:bottom="1077" w:left="119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FSA 20221 · Block 1 technical note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pPr>
    <w:rPr>
      <w:rFonts w:ascii="Calibri" w:cs="Calibri" w:eastAsia="Calibri" w:hAnsi="Calibri"/>
      <w:b/>
      <w:bCs/>
      <w:color w:val="1F3864"/>
      <w:sz w:val="30"/>
      <w:szCs w:val="30"/>
    </w:rPr>
  </w:style>
  <w:style w:type="paragraph" w:styleId="Heading2">
    <w:name w:val="Heading 2"/>
    <w:basedOn w:val="Normal"/>
    <w:next w:val="Normal"/>
    <w:qFormat/>
    <w:pPr>
      <w:keepNext/>
      <w:spacing w:after="80" w:before="200"/>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note — Block 1</dc:title>
  <dc:creator>Pietro Bianchi, Nicola Pecchiari</dc:creator>
  <cp:lastModifiedBy>Un-named</cp:lastModifiedBy>
  <cp:revision>1</cp:revision>
  <dcterms:created xsi:type="dcterms:W3CDTF">2026-10-01T14:43:16.556Z</dcterms:created>
  <dcterms:modified xsi:type="dcterms:W3CDTF">2026-10-01T14:43:16.556Z</dcterms:modified>
</cp:coreProperties>
</file>

<file path=docProps/custom.xml><?xml version="1.0" encoding="utf-8"?>
<Properties xmlns="http://schemas.openxmlformats.org/officeDocument/2006/custom-properties" xmlns:vt="http://schemas.openxmlformats.org/officeDocument/2006/docPropsVTypes"/>
</file>