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Copyright Registration Filing Guide — HackTrader</w:t>
      </w:r>
    </w:p>
    <w:p>
      <w:pPr>
        <w:spacing w:after="80" w:before="80"/>
      </w:pPr>
      <w:r>
        <w:t xml:space="preserve">A worksheet for filing a U.S. Copyright Registration on the HackTrader codebase via the U.S. Copyright Office's electronic filing system (eCO) at </w:t>
      </w:r>
      <w:hyperlink w:history="1" r:id="rId1k3nxkgz3jmlk3sz4chly">
        <w:r>
          <w:rPr>
            <w:rStyle w:val="Hyperlink"/>
          </w:rPr>
          <w:t xml:space="preserve">copyright.gov</w:t>
        </w:r>
      </w:hyperlink>
      <w:r>
        <w:t xml:space="preserve">.</w:t>
      </w:r>
    </w:p>
    <w:p>
      <w:pPr>
        <w:spacing w:after="80" w:before="80"/>
      </w:pPr>
      <w:r>
        <w:rPr>
          <w:b/>
          <w:bCs/>
        </w:rPr>
        <w:t xml:space="preserve">Status:</w:t>
      </w:r>
      <w:r>
        <w:t xml:space="preserve"> Draft for filing. Have a registered patent or copyright practitioner review before submission. Filing is online; this document tells you what to enter.</w:t>
      </w:r>
    </w:p>
    <w:p>
      <w:pPr>
        <w:pBdr>
          <w:bottom w:val="single" w:color="888888" w:sz="6" w:space="1"/>
        </w:pBdr>
        <w:spacing w:after="240" w:before="240"/>
      </w:pPr>
    </w:p>
    <w:p>
      <w:pPr>
        <w:pStyle w:val="Heading2"/>
      </w:pPr>
      <w:r>
        <w:t xml:space="preserve">Why register</w:t>
      </w:r>
    </w:p>
    <w:p>
      <w:pPr>
        <w:spacing w:after="80" w:before="80"/>
      </w:pPr>
      <w:r>
        <w:t xml:space="preserve">Copyright in original works of authorship is automatic upon creation under U.S. law. </w:t>
      </w:r>
      <w:r>
        <w:rPr>
          <w:i/>
          <w:iCs/>
        </w:rPr>
        <w:t xml:space="preserve">Registration</w:t>
      </w:r>
      <w:r>
        <w:t xml:space="preserve">, however, is what enables you 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Sue for infringement in federal court.</w:t>
      </w:r>
      <w:r>
        <w:t xml:space="preserve"> A registered copyright is a prerequisite to filing an infringement suit in the United States.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Recover statutory damages and attorneys' fees.</w:t>
      </w:r>
      <w:r>
        <w:t xml:space="preserve"> Without registration, you can only recover actual damages (which are notoriously hard to prove for software). Registration enables statutory damages up to </w:t>
      </w:r>
      <w:r>
        <w:rPr>
          <w:b/>
          <w:bCs/>
        </w:rPr>
        <w:t xml:space="preserve">$150,000 per willful infringement</w:t>
      </w:r>
      <w:r>
        <w:t xml:space="preserve"> and recovery of attorneys' fees.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Establish prima facie validity.</w:t>
      </w:r>
      <w:r>
        <w:t xml:space="preserve"> A registration certificate is presumptive evidence in court that the copyright is valid and you are the owner.</w:t>
      </w:r>
    </w:p>
    <w:p>
      <w:pPr>
        <w:spacing w:after="80" w:before="80"/>
      </w:pPr>
      <w:r>
        <w:t xml:space="preserve">Registration costs $45 (for a single author / single work / not-for-hire) or $65 (for most other configurations) and takes approximately 6–8 months to issue. The protection is </w:t>
      </w:r>
      <w:r>
        <w:rPr>
          <w:i/>
          <w:iCs/>
        </w:rPr>
        <w:t xml:space="preserve">retroactive to the date of filing</w:t>
      </w:r>
      <w:r>
        <w:t xml:space="preserve">, so filing now matters even if a future lawsuit is years away.</w:t>
      </w:r>
    </w:p>
    <w:p>
      <w:pPr>
        <w:pStyle w:val="Heading2"/>
      </w:pPr>
      <w:r>
        <w:t xml:space="preserve">What to register</w:t>
      </w:r>
    </w:p>
    <w:p>
      <w:pPr>
        <w:spacing w:after="80" w:before="80"/>
      </w:pPr>
      <w:r>
        <w:t xml:space="preserve">The HackTrader codebase as a </w:t>
      </w:r>
      <w:r>
        <w:rPr>
          <w:i/>
          <w:iCs/>
        </w:rPr>
        <w:t xml:space="preserve">computer program</w:t>
      </w:r>
      <w:r>
        <w:t xml:space="preserve"> — an integrated whole consisting of PHP, JavaScript (embedded in PHP), Python, and supporting configuration files. The visualization output rendered by the code is </w:t>
      </w:r>
      <w:r>
        <w:rPr>
          <w:i/>
          <w:iCs/>
        </w:rPr>
        <w:t xml:space="preserve">not</w:t>
      </w:r>
      <w:r>
        <w:t xml:space="preserve"> the registered work; the source code is.</w:t>
      </w:r>
    </w:p>
    <w:p>
      <w:pPr>
        <w:spacing w:after="80" w:before="80"/>
      </w:pPr>
      <w:r>
        <w:t xml:space="preserve">Filing covers the version of the codebase as of the deposit date. New versions can be registered separately (or as a "supplementary registration" if substantial new authorship has been added).</w:t>
      </w:r>
    </w:p>
    <w:p>
      <w:pPr>
        <w:pStyle w:val="Heading2"/>
      </w:pPr>
      <w:r>
        <w:t xml:space="preserve">What to file at copyright.gov</w:t>
      </w:r>
    </w:p>
    <w:p>
      <w:pPr>
        <w:pStyle w:val="Heading3"/>
      </w:pPr>
      <w:r>
        <w:t xml:space="preserve">Step 1 — Create an account</w:t>
      </w:r>
    </w:p>
    <w:p>
      <w:pPr>
        <w:spacing w:after="80" w:before="80"/>
      </w:pPr>
      <w:r>
        <w:t xml:space="preserve">At </w:t>
      </w:r>
      <w:hyperlink w:history="1" r:id="rIdrj92kfm_2vlu7ylukqdxw">
        <w:r>
          <w:rPr>
            <w:rStyle w:val="Hyperlink"/>
          </w:rPr>
          <w:t xml:space="preserve">eco.copyright.gov</w:t>
        </w:r>
      </w:hyperlink>
      <w:r>
        <w:t xml:space="preserve">, create an account if you don't already have one. Use a Penguins LLC business email if available, or a personal email you'll keep long-term. The account is what receives the registration certificate.</w:t>
      </w:r>
    </w:p>
    <w:p>
      <w:pPr>
        <w:pStyle w:val="Heading3"/>
      </w:pPr>
      <w:r>
        <w:t xml:space="preserve">Step 2 — Choose application type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"Standard Application"</w:t>
      </w:r>
      <w:r>
        <w:t xml:space="preserve"> (works with one or more authors, or work made for hire).</w:t>
      </w:r>
    </w:p>
    <w:p>
      <w:pPr>
        <w:spacing w:after="80" w:before="80"/>
      </w:pPr>
      <w:r>
        <w:t xml:space="preserve">Do NOT select "Single Application" — that's only for one work, by one author, who is also the sole owner, and is not work made for hire. Since Penguins LLC will be the owner (post-assignment) but you are the author, Standard is correct.</w:t>
      </w:r>
    </w:p>
    <w:p>
      <w:pPr>
        <w:pStyle w:val="Heading3"/>
      </w:pPr>
      <w:r>
        <w:t xml:space="preserve">Step 3 — Type of work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"Work of the Performing Arts"</w:t>
      </w:r>
      <w:r>
        <w:t xml:space="preserve"> ❌ NO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"Literary Work"</w:t>
      </w:r>
      <w:r>
        <w:t xml:space="preserve"> ❌ NO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"Work of the Visual Arts"</w:t>
      </w:r>
      <w:r>
        <w:t xml:space="preserve"> ❌ NO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"Sound Recording"</w:t>
      </w:r>
      <w:r>
        <w:t xml:space="preserve"> ❌ NO</w:t>
      </w:r>
    </w:p>
    <w:p>
      <w:pPr>
        <w:spacing w:after="80" w:before="80"/>
      </w:pPr>
      <w:r>
        <w:t xml:space="preserve">Select: </w:t>
      </w:r>
      <w:r>
        <w:rPr>
          <w:b/>
          <w:bCs/>
        </w:rPr>
        <w:t xml:space="preserve">"Motion Picture / AV Work"</w:t>
      </w:r>
      <w:r>
        <w:t xml:space="preserve"> ❌ NO</w:t>
      </w:r>
    </w:p>
    <w:p>
      <w:pPr>
        <w:spacing w:after="80" w:before="80"/>
      </w:pPr>
      <w:r>
        <w:t xml:space="preserve">Select: ✅ </w:t>
      </w:r>
      <w:r>
        <w:rPr>
          <w:b/>
          <w:bCs/>
        </w:rPr>
        <w:t xml:space="preserve">"Computer Program"</w:t>
      </w:r>
      <w:r>
        <w:t xml:space="preserve"> under Other Digital Content / Software.</w:t>
      </w:r>
    </w:p>
    <w:p>
      <w:pPr>
        <w:spacing w:after="80" w:before="80"/>
      </w:pPr>
      <w:r>
        <w:t xml:space="preserve">In the eCO interface this typically appears as: </w:t>
      </w:r>
      <w:r>
        <w:rPr>
          <w:i/>
          <w:iCs/>
        </w:rPr>
        <w:t xml:space="preserve">Type of Work → Literary Work → Computer Program.</w:t>
      </w:r>
      <w:r>
        <w:t xml:space="preserve"> (eCO classifies software under literary works for filing purposes; this is correct.)</w:t>
      </w:r>
    </w:p>
    <w:p>
      <w:pPr>
        <w:pStyle w:val="Heading3"/>
      </w:pPr>
      <w:r>
        <w:t xml:space="preserve">Step 4 — Title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 of this work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HackTrader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 of work being registered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or alternative titles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 — leave blank if this is the first registration)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of completion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2026</w:t>
            </w:r>
          </w:p>
        </w:tc>
      </w:tr>
    </w:tbl>
    <w:p>
      <w:pPr>
        <w:pStyle w:val="Heading3"/>
      </w:pPr>
      <w:r>
        <w:t xml:space="preserve">Step 5 — Publication information</w:t>
      </w:r>
    </w:p>
    <w:p>
      <w:pPr>
        <w:spacing w:after="80" w:before="80"/>
      </w:pPr>
      <w:r>
        <w:t xml:space="preserve">This is the trickiest field. "Publication" in copyright law has a specific meaning: making the work available to the public </w:t>
      </w:r>
      <w:r>
        <w:rPr>
          <w:i/>
          <w:iCs/>
        </w:rPr>
        <w:t xml:space="preserve">with the consent of the owner</w:t>
      </w:r>
      <w:r>
        <w:t xml:space="preserve"> by sale, distribution, public display, etc. Note that </w:t>
      </w:r>
      <w:r>
        <w:rPr>
          <w:i/>
          <w:iCs/>
        </w:rPr>
        <w:t xml:space="preserve">deploying software to a SaaS server users authenticate to</w:t>
      </w:r>
      <w:r>
        <w:t xml:space="preserve"> is a debated edge case — many practitioners treat SaaS deployment as publication; some don't.</w:t>
      </w:r>
    </w:p>
    <w:p>
      <w:pPr>
        <w:spacing w:after="80" w:before="80"/>
      </w:pPr>
      <w:r>
        <w:rPr>
          <w:b/>
          <w:bCs/>
        </w:rPr>
        <w:t xml:space="preserve">Conservative recommendation:</w:t>
      </w:r>
      <w:r>
        <w:t xml:space="preserve"> treat the work as </w:t>
      </w:r>
      <w:r>
        <w:rPr>
          <w:b/>
          <w:bCs/>
        </w:rPr>
        <w:t xml:space="preserve">published</w:t>
      </w:r>
      <w:r>
        <w:t xml:space="preserve"> as of the date you launched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dev.hacktrader.com</w:t>
      </w:r>
      <w:r>
        <w:t xml:space="preserve"> and made it available to authenticated users. Pick a clear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 this work been published?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first publication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[the date you first allowed external users to access dev.hacktrader.com]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Nation of first publication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</w:t>
            </w:r>
          </w:p>
        </w:tc>
      </w:tr>
    </w:tbl>
    <w:p>
      <w:pPr>
        <w:spacing w:after="80" w:before="80"/>
      </w:pPr>
      <w:r>
        <w:t xml:space="preserve">If you genuinely cannot determine a publication date and the codebase has only ever been accessed by you, file as </w:t>
      </w:r>
      <w:r>
        <w:rPr>
          <w:b/>
          <w:bCs/>
        </w:rPr>
        <w:t xml:space="preserve">Unpublished</w:t>
      </w:r>
      <w:r>
        <w:t xml:space="preserve">. Unpublished works enjoy slightly different procedural rules but otherwise the same protection.</w:t>
      </w:r>
    </w:p>
    <w:p>
      <w:pPr>
        <w:pStyle w:val="Heading3"/>
      </w:pPr>
      <w:r>
        <w:t xml:space="preserve">Step 6 — Author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Jayson Hawley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of birth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(your year of birth — required by the Copyright Office)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of death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(leave blank, you are alive)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Citizen of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Domiciled 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Pseudonymous?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created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program (text)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this work made for hire?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>The "made for hire" question matters. If you check </w:t>
      </w:r>
      <w:r>
        <w:rPr>
          <w:b/>
          <w:bCs/>
        </w:rPr>
        <w:t xml:space="preserve">Yes</w:t>
      </w:r>
      <w:r>
        <w:t xml:space="preserve">, the </w:t>
      </w:r>
      <w:r>
        <w:rPr>
          <w:i/>
          <w:iCs/>
        </w:rPr>
        <w:t xml:space="preserve">employer</w:t>
      </w:r>
      <w:r>
        <w:t xml:space="preserve"> (Penguins LLC) is the author, not you. </w:t>
      </w:r>
      <w:r>
        <w:rPr>
          <w:b/>
          <w:bCs/>
        </w:rPr>
        <w:t xml:space="preserve">You should check No</w:t>
      </w:r>
      <w:r>
        <w:t xml:space="preserve"> because the code was authored by you personally before the LLC's formal involvement in development. The IP assignment document (filed separately) is what transfers ownership from you to Penguins LLC; copyright authorship still resides with you.</w:t>
      </w:r>
    </w:p>
    <w:p>
      <w:pPr>
        <w:pStyle w:val="Heading3"/>
      </w:pPr>
      <w:r>
        <w:t xml:space="preserve">Step 7 — Copyright claimant</w:t>
      </w:r>
    </w:p>
    <w:p>
      <w:pPr>
        <w:spacing w:after="80" w:before="80"/>
      </w:pPr>
      <w:r>
        <w:t xml:space="preserve">The "claimant" is the </w:t>
      </w:r>
      <w:r>
        <w:rPr>
          <w:i/>
          <w:iCs/>
        </w:rPr>
        <w:t xml:space="preserve">current owner</w:t>
      </w:r>
      <w:r>
        <w:t xml:space="preserve"> of the copyright at the time of registration.</w:t>
      </w:r>
    </w:p>
    <w:p>
      <w:pPr>
        <w:spacing w:after="80" w:before="80"/>
      </w:pPr>
      <w:r>
        <w:t xml:space="preserve">If you have already executed the IP Assignment Agreement (Penguins LLC is the assignee):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Claimant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Penguins LLC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Claimant address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999 Corporate Drive, Ste 100, Ladera Ranch, CA 92694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 statement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"By written assignment from Jayson Hawley dated </w:t>
            </w:r>
            <w:r>
              <w:t xml:space="preserve">[</w:t>
            </w:r>
            <w:r>
              <w:t xml:space="preserve">assignment date]"</w:t>
            </w:r>
          </w:p>
        </w:tc>
      </w:tr>
    </w:tbl>
    <w:p>
      <w:pPr>
        <w:spacing w:after="80" w:before="80"/>
      </w:pPr>
      <w:r>
        <w:t xml:space="preserve">If you have NOT yet executed the assignment, the claimant is you personally: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Claimant 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Jayson Hawley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Claimant address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(your address)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 statement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(leave blank)</w:t>
            </w:r>
          </w:p>
        </w:tc>
      </w:tr>
    </w:tbl>
    <w:p>
      <w:pPr>
        <w:spacing w:after="80" w:before="80"/>
      </w:pPr>
      <w:r>
        <w:t xml:space="preserve">You can later record the assignment with the Copyright Office to update the public record. Don't let this question delay registration.</w:t>
      </w:r>
    </w:p>
    <w:p>
      <w:pPr>
        <w:pStyle w:val="Heading3"/>
      </w:pPr>
      <w:r>
        <w:t xml:space="preserve">Step 8 — Limitation of claim</w:t>
      </w:r>
    </w:p>
    <w:p>
      <w:pPr>
        <w:spacing w:after="80" w:before="80"/>
      </w:pPr>
      <w:r>
        <w:t xml:space="preserve">Most software registrations include some pre-existing material (open-source libraries, etc.). You can either disclaim those (recommended) or claim the entire work.</w:t>
      </w:r>
    </w:p>
    <w:p>
      <w:pPr>
        <w:spacing w:after="80" w:before="80"/>
      </w:pPr>
      <w:r>
        <w:rPr>
          <w:b/>
          <w:bCs/>
        </w:rPr>
        <w:t xml:space="preserve">For HackTrader's codebase:</w:t>
      </w:r>
    </w:p>
    <w:p>
      <w:pPr>
        <w:spacing w:after="80" w:before="80"/>
      </w:pPr>
      <w:r>
        <w:t xml:space="preserve">Material excluded from this claim:</w:t>
      </w:r>
    </w:p>
    <w:p>
      <w:pPr>
        <w:pStyle w:val="ListParagraph"/>
        <w:numPr>
          <w:ilvl w:val="0"/>
          <w:numId w:val="3"/>
        </w:numPr>
      </w:pPr>
      <w:r>
        <w:t xml:space="preserve">Stripe PHP SDK (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vendor/stripe/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Composer dependencies (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vendor/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Google Fonts CSS (referenced via CDN, not embedded)</w:t>
      </w:r>
    </w:p>
    <w:p>
      <w:pPr>
        <w:pStyle w:val="ListParagraph"/>
        <w:numPr>
          <w:ilvl w:val="0"/>
          <w:numId w:val="3"/>
        </w:numPr>
      </w:pPr>
      <w:r>
        <w:t xml:space="preserve">Google API client libraries</w:t>
      </w:r>
    </w:p>
    <w:p>
      <w:pPr>
        <w:pStyle w:val="ListParagraph"/>
        <w:numPr>
          <w:ilvl w:val="0"/>
          <w:numId w:val="3"/>
        </w:numPr>
      </w:pPr>
      <w:r>
        <w:t xml:space="preserve">Lightweight Charts library (referenced via CDN)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phpstan.phar</w:t>
      </w:r>
      <w:r>
        <w:t xml:space="preserve">,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phpunit.phar</w:t>
      </w:r>
      <w:r>
        <w:t xml:space="preserve">,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ruff</w:t>
      </w:r>
      <w:r>
        <w:t xml:space="preserve"> binaries (build tooling)</w:t>
      </w:r>
    </w:p>
    <w:p>
      <w:pPr>
        <w:spacing w:after="80" w:before="80"/>
      </w:pPr>
      <w:r>
        <w:t xml:space="preserve">New material in this claim: All HackTrader-specific PHP source, JavaScript (embedded), Python source, CSS, HTML structure, configuration files (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correlations.json</w:t>
      </w:r>
      <w:r>
        <w:t xml:space="preserve">,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lib/plans.php</w:t>
      </w:r>
      <w:r>
        <w:t xml:space="preserve">), and documentation.</w:t>
      </w:r>
    </w:p>
    <w:p>
      <w:pPr>
        <w:spacing w:after="80" w:before="80"/>
      </w:pPr>
      <w:r>
        <w:t xml:space="preserve">The eCO form has a free-text field for this; describe it as: "Original computer program code, excluding third-party open-source libraries (Stripe SDK, Composer dependencies, Google API libraries, charting libraries) and dev tooling binaries."</w:t>
      </w:r>
    </w:p>
    <w:p>
      <w:pPr>
        <w:pStyle w:val="Heading3"/>
      </w:pPr>
      <w:r>
        <w:t xml:space="preserve">Step 9 — Rights and permissions contact</w:t>
      </w:r>
    </w:p>
    <w:p>
      <w:pPr>
        <w:spacing w:after="80" w:before="80"/>
      </w:pPr>
      <w:r>
        <w:t xml:space="preserve">The contact person for licensing inquiries.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Jayson Hawley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Penguins LLC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info@pngs.us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(949) 335-9688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4F0A"/>
                <w:sz w:val="20"/>
                <w:szCs w:val="20"/>
              </w:rPr>
              <w:t xml:space="preserve">999 Corporate Drive, Ste 100, Ladera Ranch, CA 92694</w:t>
            </w:r>
          </w:p>
        </w:tc>
      </w:tr>
    </w:tbl>
    <w:p>
      <w:pPr>
        <w:pStyle w:val="Heading3"/>
      </w:pPr>
      <w:r>
        <w:t xml:space="preserve">Step 10 — Correspondence contact</w:t>
      </w:r>
    </w:p>
    <w:p>
      <w:pPr>
        <w:spacing w:after="80" w:before="80"/>
      </w:pPr>
      <w:r>
        <w:t xml:space="preserve">Same as Rights and Permissions, unless you want correspondence to come to a different address.</w:t>
      </w:r>
    </w:p>
    <w:p>
      <w:pPr>
        <w:pStyle w:val="Heading3"/>
      </w:pPr>
      <w:r>
        <w:t xml:space="preserve">Step 11 — Mail certificate to</w:t>
      </w:r>
    </w:p>
    <w:p>
      <w:pPr>
        <w:spacing w:after="80" w:before="80"/>
      </w:pPr>
      <w:r>
        <w:t xml:space="preserve">Same as above. The certificate is mailed to the listed address once registration is complete.</w:t>
      </w:r>
    </w:p>
    <w:p>
      <w:pPr>
        <w:pStyle w:val="Heading3"/>
      </w:pPr>
      <w:r>
        <w:t xml:space="preserve">Step 12 — Special handling</w:t>
      </w:r>
    </w:p>
    <w:p>
      <w:pPr>
        <w:spacing w:after="80" w:before="80"/>
      </w:pPr>
      <w:r>
        <w:t xml:space="preserve">Skip unless you need expedited review (e.g., for pending litigation). Special handling fees are $800 and serve no purpose for a routine filing.</w:t>
      </w:r>
    </w:p>
    <w:p>
      <w:pPr>
        <w:pStyle w:val="Heading3"/>
      </w:pPr>
      <w:r>
        <w:t xml:space="preserve">Step 13 — Certification</w:t>
      </w:r>
    </w:p>
    <w:p>
      <w:pPr>
        <w:spacing w:after="80" w:before="80"/>
      </w:pPr>
      <w:r>
        <w:t xml:space="preserve">You sign certifying that you are the author or authorized agent and that the information is true and correct.</w:t>
      </w:r>
    </w:p>
    <w:p>
      <w:pPr>
        <w:pStyle w:val="Heading3"/>
      </w:pPr>
      <w:r>
        <w:t xml:space="preserve">Step 14 — Pay the fee</w:t>
      </w:r>
    </w:p>
    <w:p>
      <w:pPr>
        <w:spacing w:after="80" w:before="80"/>
      </w:pPr>
      <w:r>
        <w:t xml:space="preserve">Standard application: </w:t>
      </w:r>
      <w:r>
        <w:rPr>
          <w:b/>
          <w:bCs/>
        </w:rPr>
        <w:t xml:space="preserve">$65</w:t>
      </w:r>
      <w:r>
        <w:t xml:space="preserve">.</w:t>
      </w:r>
    </w:p>
    <w:p>
      <w:pPr>
        <w:spacing w:after="80" w:before="80"/>
      </w:pPr>
      <w:r>
        <w:t xml:space="preserve">Pay via credit card, debit card, ACH, or deposit account. Receipt is emailed instantly.</w:t>
      </w:r>
    </w:p>
    <w:p>
      <w:pPr>
        <w:pStyle w:val="Heading3"/>
      </w:pPr>
      <w:r>
        <w:t xml:space="preserve">Step 15 — Upload deposit copy</w:t>
      </w:r>
    </w:p>
    <w:p>
      <w:pPr>
        <w:spacing w:after="80" w:before="80"/>
      </w:pPr>
      <w:r>
        <w:t xml:space="preserve">You must submit a "deposit" copy of the work — the actual code being registered.</w:t>
      </w:r>
    </w:p>
    <w:p>
      <w:pPr>
        <w:spacing w:after="80" w:before="80"/>
      </w:pPr>
      <w:r>
        <w:t xml:space="preserve">For computer programs, the Copyright Office accepts: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25 and last 25 pages of source code</w:t>
      </w:r>
      <w:r>
        <w:t xml:space="preserve"> (recommended) — minimizes trade secret exposure while satisfying the deposit requirement; 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Entire source code</w:t>
      </w:r>
      <w:r>
        <w:t xml:space="preserve"> (not recommended for trade-secret reasons); 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 code in machine-readable form</w:t>
      </w:r>
      <w:r>
        <w:t xml:space="preserve">.</w:t>
      </w:r>
    </w:p>
    <w:p>
      <w:pPr>
        <w:spacing w:after="80" w:before="80"/>
      </w:pPr>
      <w:r>
        <w:rPr>
          <w:b/>
          <w:bCs/>
        </w:rPr>
        <w:t xml:space="preserve">Recommendation: Upload first-25 / last-25 pages.</w:t>
      </w:r>
      <w:r>
        <w:t xml:space="preserve"> Generate a PDF containing:</w:t>
      </w:r>
    </w:p>
    <w:p>
      <w:pPr>
        <w:pStyle w:val="ListParagraph"/>
        <w:numPr>
          <w:ilvl w:val="0"/>
          <w:numId w:val="3"/>
        </w:numPr>
      </w:pPr>
      <w:r>
        <w:t xml:space="preserve">The first 25 pages of source code from the most representative file (use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dashboard.php</w:t>
      </w:r>
      <w:r>
        <w:t xml:space="preserve"> or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run-brk.py</w:t>
      </w:r>
      <w:r>
        <w:t xml:space="preserve"> — pick the one most central to the invention)</w:t>
      </w:r>
    </w:p>
    <w:p>
      <w:pPr>
        <w:pStyle w:val="ListParagraph"/>
        <w:numPr>
          <w:ilvl w:val="0"/>
          <w:numId w:val="3"/>
        </w:numPr>
      </w:pPr>
      <w:r>
        <w:t xml:space="preserve">The last 25 pages of the same file</w:t>
      </w:r>
    </w:p>
    <w:p>
      <w:pPr>
        <w:spacing w:after="80" w:before="80"/>
      </w:pPr>
      <w:r>
        <w:t xml:space="preserve">Or, more practically, take a representative cross-section of the codebase: 25 pages of the most important file's beginning, then 25 pages of another important file's ending.</w:t>
      </w:r>
    </w:p>
    <w:p>
      <w:pPr>
        <w:spacing w:after="80" w:before="80"/>
      </w:pPr>
      <w:r>
        <w:rPr>
          <w:b/>
          <w:bCs/>
        </w:rPr>
        <w:t xml:space="preserve">Practical tip:</w:t>
      </w:r>
      <w:r>
        <w:t xml:space="preserve"> the Copyright Office is satisfied with any reasonable interpretation of "first 25 / last 25." You can include marginal redactions of the most sensitive parts of the algorithm (e.g., specific magic numbers in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run-brk.py</w:t>
      </w:r>
      <w:r>
        <w:t xml:space="preserve"> like the asymmetry weights) to preserve trade secret protection. Use a black-box redaction marker.</w:t>
      </w:r>
    </w:p>
    <w:p>
      <w:pPr>
        <w:spacing w:after="80" w:before="80"/>
      </w:pPr>
      <w:r>
        <w:t xml:space="preserve">PDF generation: From your Mac,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cat dashboard.php | enscript -B -o - | ps2pdf - dashboard-deposit.pdf</w:t>
      </w:r>
      <w:r>
        <w:t xml:space="preserve"> works, or use any IDE's "Export to PDF" function.</w:t>
      </w:r>
    </w:p>
    <w:p>
      <w:pPr>
        <w:pStyle w:val="Heading3"/>
      </w:pPr>
      <w:r>
        <w:t xml:space="preserve">Step 16 — Submit</w:t>
      </w:r>
    </w:p>
    <w:p>
      <w:pPr>
        <w:spacing w:after="80" w:before="80"/>
      </w:pPr>
      <w:r>
        <w:t xml:space="preserve">Hit submit. The system issues a case number; the registration certificate arrives by mail in 6–8 months.</w:t>
      </w:r>
    </w:p>
    <w:p>
      <w:pPr>
        <w:spacing w:after="80" w:before="80"/>
      </w:pPr>
      <w:r>
        <w:t xml:space="preserve">You may now mark your work with the standard copyright notice: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© 2026 Penguins LLC. All rights reserved.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HackTrader and the HackTrader correlation radar are protected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by U.S. copyright law and pending U.S. and foreign patents.</w:t>
      </w:r>
    </w:p>
    <w:p>
      <w:pPr>
        <w:pBdr>
          <w:bottom w:val="single" w:color="888888" w:sz="6" w:space="1"/>
        </w:pBdr>
        <w:spacing w:after="240" w:before="240"/>
      </w:pPr>
    </w:p>
    <w:p>
      <w:pPr>
        <w:pStyle w:val="Heading2"/>
      </w:pPr>
      <w:r>
        <w:t xml:space="preserve">After registration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the footer copy on dev.hacktrader.com</w:t>
      </w:r>
      <w:r>
        <w:t xml:space="preserve"> to reflect the registration once the certificate arrives. Optionally include the registration number (e.g., "U.S. Copyright Reg. No. TXu2-345-678").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supplementary registrations</w:t>
      </w:r>
      <w:r>
        <w:t xml:space="preserve"> for major new versions (e.g., when v2.0 ships with substantial new authorship).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a register of contributors.</w:t>
      </w:r>
      <w:r>
        <w:t xml:space="preserve"> If you ever take on contractors or contributors, get a written work-for-hire and assignment from each before they touch the codebase. Otherwise their authorship may complicate future registrations.</w:t>
      </w:r>
    </w:p>
    <w:p>
      <w:pPr>
        <w:pStyle w:val="Heading2"/>
      </w:pPr>
      <w:r>
        <w:t xml:space="preserve">Estimated total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Application filing fee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hours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$65</w:t>
            </w:r>
          </w:p>
        </w:tc>
      </w:tr>
    </w:tbl>
    <w:p>
      <w:pPr>
        <w:pStyle w:val="Heading2"/>
      </w:pPr>
      <w:r>
        <w:t xml:space="preserve">Questions for the attorney</w:t>
      </w:r>
    </w:p>
    <w:p>
      <w:pPr>
        <w:spacing w:after="80" w:before="80"/>
      </w:pPr>
      <w:r>
        <w:t xml:space="preserve">If you're consulting an IP attorney before filing:</w:t>
      </w:r>
    </w:p>
    <w:p>
      <w:pPr>
        <w:pStyle w:val="ListParagraph"/>
        <w:numPr>
          <w:ilvl w:val="0"/>
          <w:numId w:val="2"/>
        </w:numPr>
      </w:pPr>
      <w:r>
        <w:t xml:space="preserve">Whether the SaaS deployment of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dev.hacktrader.com</w:t>
      </w:r>
      <w:r>
        <w:t xml:space="preserve"> constitutes "publication" for copyright purposes.</w:t>
      </w:r>
    </w:p>
    <w:p>
      <w:pPr>
        <w:pStyle w:val="ListParagraph"/>
        <w:numPr>
          <w:ilvl w:val="0"/>
          <w:numId w:val="2"/>
        </w:numPr>
      </w:pPr>
      <w:r>
        <w:t xml:space="preserve">Whether to register </w:t>
      </w:r>
      <w:r>
        <w:rPr>
          <w:rFonts w:ascii="Courier New" w:cs="Courier New" w:eastAsia="Courier New" w:hAnsi="Courier New"/>
          <w:color w:val="7A4F0A"/>
          <w:sz w:val="20"/>
          <w:szCs w:val="20"/>
        </w:rPr>
        <w:t xml:space="preserve">run-brk.py</w:t>
      </w:r>
      <w:r>
        <w:t xml:space="preserve"> separately as a different work, given its different authorship history.</w:t>
      </w:r>
    </w:p>
    <w:p>
      <w:pPr>
        <w:pStyle w:val="ListParagraph"/>
        <w:numPr>
          <w:ilvl w:val="0"/>
          <w:numId w:val="2"/>
        </w:numPr>
      </w:pPr>
      <w:r>
        <w:t xml:space="preserve">Whether to include redactions in the deposit copy to preserve trade secret status.</w:t>
      </w:r>
    </w:p>
    <w:p>
      <w:pPr>
        <w:pStyle w:val="ListParagraph"/>
        <w:numPr>
          <w:ilvl w:val="0"/>
          <w:numId w:val="2"/>
        </w:numPr>
      </w:pPr>
      <w:r>
        <w:t xml:space="preserve">Whether to record the IP Assignment Agreement with the Copyright Office (a separate filing once executed).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Copyright Registration Filing Guide — HackTrader</w:t>
    </w:r>
    <w:r>
      <w:rPr>
        <w:color w:val="888888"/>
        <w:sz w:val="18"/>
        <w:szCs w:val="18"/>
      </w:rPr>
      <w:t xml:space="preserve">   ·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2A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  <w:style w:type="paragraph" w:styleId="Hyperlink">
    <w:name w:val="Hyperlink"/>
    <w:basedOn w:val="Normal"/>
    <w:rPr>
      <w:color w:val="1F4E9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k3nxkgz3jmlk3sz4chly" Type="http://schemas.openxmlformats.org/officeDocument/2006/relationships/hyperlink" Target="https://www.copyright.gov" TargetMode="External"/><Relationship Id="rIdrj92kfm_2vlu7ylukqdxw" Type="http://schemas.openxmlformats.org/officeDocument/2006/relationships/hyperlink" Target="https://eco.copyright.go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Copyright Registration Filing Guide — HackTrader</dc:title>
  <dc:creator>Penguins LLC</dc:creator>
  <cp:lastModifiedBy>Un-named</cp:lastModifiedBy>
  <cp:revision>1</cp:revision>
  <dcterms:created xsi:type="dcterms:W3CDTF">2026-05-09T03:32:05.548Z</dcterms:created>
  <dcterms:modified xsi:type="dcterms:W3CDTF">2026-05-09T03:32:05.548Z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