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Intellectual Property Assignment Agreement</w:t>
      </w:r>
    </w:p>
    <w:p>
      <w:pPr>
        <w:spacing w:after="80" w:before="80"/>
      </w:pPr>
      <w:r>
        <w:rPr>
          <w:b/>
          <w:bCs/>
        </w:rPr>
        <w:t xml:space="preserve">Status:</w:t>
      </w:r>
      <w:r>
        <w:t xml:space="preserve"> Draft for attorney review and execution. Have a registered patent or business attorney review before signing. The form below is a standard short-form IP assignment commonly used by solo founders to transfer pre-formation IP into their LLC, but specific recitals and consideration may need adjustment based on California law and your LLC's operating agreement.</w:t>
      </w:r>
    </w:p>
    <w:p>
      <w:pPr>
        <w:pBdr>
          <w:bottom w:val="single" w:color="888888" w:sz="6" w:space="1"/>
        </w:pBdr>
        <w:spacing w:after="240" w:before="240"/>
      </w:pPr>
    </w:p>
    <w:p>
      <w:pPr>
        <w:pStyle w:val="Heading2"/>
      </w:pPr>
      <w:r>
        <w:t xml:space="preserve">INTELLECTUAL PROPERTY ASSIGNMENT AGREEMENT</w:t>
      </w:r>
    </w:p>
    <w:p>
      <w:pPr>
        <w:spacing w:after="80" w:before="80"/>
      </w:pPr>
      <w:r>
        <w:t xml:space="preserve">This Intellectual Property Assignment Agreement (the "</w:t>
      </w:r>
      <w:r>
        <w:rPr>
          <w:b/>
          <w:bCs/>
        </w:rPr>
        <w:t xml:space="preserve">Agreement</w:t>
      </w:r>
      <w:r>
        <w:t xml:space="preserve">") is made and entered into as of _________________, 2026 (the "</w:t>
      </w:r>
      <w:r>
        <w:rPr>
          <w:b/>
          <w:bCs/>
        </w:rPr>
        <w:t xml:space="preserve">Effective Date</w:t>
      </w:r>
      <w:r>
        <w:t xml:space="preserve">"), by and between:</w:t>
      </w:r>
    </w:p>
    <w:p>
      <w:pPr>
        <w:pStyle w:val="ListParagraph"/>
        <w:numPr>
          <w:ilvl w:val="0"/>
          <w:numId w:val="2"/>
        </w:numPr>
      </w:pPr>
      <w:r>
        <w:rPr>
          <w:b/>
          <w:bCs/>
        </w:rPr>
        <w:t xml:space="preserve">Jayson Hawley</w:t>
      </w:r>
      <w:r>
        <w:t xml:space="preserve">, an individual residing at _________________ (the "</w:t>
      </w:r>
      <w:r>
        <w:rPr>
          <w:b/>
          <w:bCs/>
        </w:rPr>
        <w:t xml:space="preserve">Assignor</w:t>
      </w:r>
      <w:r>
        <w:t xml:space="preserve">"); and</w:t>
      </w:r>
    </w:p>
    <w:p>
      <w:pPr>
        <w:pStyle w:val="ListParagraph"/>
        <w:numPr>
          <w:ilvl w:val="0"/>
          <w:numId w:val="2"/>
        </w:numPr>
      </w:pPr>
      <w:r>
        <w:rPr>
          <w:b/>
          <w:bCs/>
        </w:rPr>
        <w:t xml:space="preserve">Penguins LLC</w:t>
      </w:r>
      <w:r>
        <w:t xml:space="preserve">, a California limited liability company having its principal place of business at 999 Corporate Drive, Suite 100, Ladera Ranch, California 92694 (the "</w:t>
      </w:r>
      <w:r>
        <w:rPr>
          <w:b/>
          <w:bCs/>
        </w:rPr>
        <w:t xml:space="preserve">Assignee</w:t>
      </w:r>
      <w:r>
        <w:t xml:space="preserve">").</w:t>
      </w:r>
    </w:p>
    <w:p>
      <w:pPr>
        <w:spacing w:after="80" w:before="80"/>
      </w:pPr>
      <w:r>
        <w:t xml:space="preserve">The Assignor and Assignee are collectively referred to as the "</w:t>
      </w:r>
      <w:r>
        <w:rPr>
          <w:b/>
          <w:bCs/>
        </w:rPr>
        <w:t xml:space="preserve">Parties</w:t>
      </w:r>
      <w:r>
        <w:t xml:space="preserve">" and individually as a "</w:t>
      </w:r>
      <w:r>
        <w:rPr>
          <w:b/>
          <w:bCs/>
        </w:rPr>
        <w:t xml:space="preserve">Party</w:t>
      </w:r>
      <w:r>
        <w:t xml:space="preserve">".</w:t>
      </w:r>
    </w:p>
    <w:p>
      <w:pPr>
        <w:pBdr>
          <w:bottom w:val="single" w:color="888888" w:sz="6" w:space="1"/>
        </w:pBdr>
        <w:spacing w:after="240" w:before="240"/>
      </w:pPr>
    </w:p>
    <w:p>
      <w:pPr>
        <w:pStyle w:val="Heading3"/>
      </w:pPr>
      <w:r>
        <w:t xml:space="preserve">RECITALS</w:t>
      </w:r>
    </w:p>
    <w:p>
      <w:pPr>
        <w:spacing w:after="80" w:before="80"/>
      </w:pPr>
      <w:r>
        <w:rPr>
          <w:b/>
          <w:bCs/>
        </w:rPr>
        <w:t xml:space="preserve">WHEREAS</w:t>
      </w:r>
      <w:r>
        <w:t xml:space="preserve">, the Assignor is the sole creator and current owner of certain intellectual property comprising and relating to a market structure visualization tool commercially known as </w:t>
      </w:r>
      <w:r>
        <w:rPr>
          <w:b/>
          <w:bCs/>
        </w:rPr>
        <w:t xml:space="preserve">"HackTrader"</w:t>
      </w:r>
      <w:r>
        <w:t xml:space="preserve">, which intellectual property includes without limitation the source code, documentation, branding, visual designs, user interface designs, algorithms, written specifications, and related materials more particularly described in </w:t>
      </w:r>
      <w:r>
        <w:rPr>
          <w:i/>
          <w:iCs/>
        </w:rPr>
        <w:t xml:space="preserve">Schedule A</w:t>
      </w:r>
      <w:r>
        <w:t xml:space="preserve"> to this Agreement (collectively, the "</w:t>
      </w:r>
      <w:r>
        <w:rPr>
          <w:b/>
          <w:bCs/>
        </w:rPr>
        <w:t xml:space="preserve">Assigned IP</w:t>
      </w:r>
      <w:r>
        <w:t xml:space="preserve">");</w:t>
      </w:r>
    </w:p>
    <w:p>
      <w:pPr>
        <w:spacing w:after="80" w:before="80"/>
      </w:pPr>
      <w:r>
        <w:rPr>
          <w:b/>
          <w:bCs/>
        </w:rPr>
        <w:t xml:space="preserve">WHEREAS</w:t>
      </w:r>
      <w:r>
        <w:t xml:space="preserve">, the Assignee is a California limited liability company of which the Assignor is the sole member or majority member;</w:t>
      </w:r>
    </w:p>
    <w:p>
      <w:pPr>
        <w:spacing w:after="80" w:before="80"/>
      </w:pPr>
      <w:r>
        <w:rPr>
          <w:b/>
          <w:bCs/>
        </w:rPr>
        <w:t xml:space="preserve">WHEREAS</w:t>
      </w:r>
      <w:r>
        <w:t xml:space="preserve">, the Parties desire that the Assignee own all right, title, and interest in and to the Assigned IP, in order to (i) consolidate ownership of the Assigned IP with the operating entity that markets and licenses the HackTrader product, (ii) facilitate enforcement and licensing of the Assigned IP, and (iii) clarify the chain of title for purposes of patent prosecution, copyright registration, trademark registration, and any future financing or acquisition transaction;</w:t>
      </w:r>
    </w:p>
    <w:p>
      <w:pPr>
        <w:spacing w:after="80" w:before="80"/>
      </w:pPr>
      <w:r>
        <w:rPr>
          <w:b/>
          <w:bCs/>
        </w:rPr>
        <w:t xml:space="preserve">WHEREAS</w:t>
      </w:r>
      <w:r>
        <w:t xml:space="preserve">, the Assignor has agreed to assign all such right, title, and interest to the Assignee in exchange for the consideration described herein;</w:t>
      </w:r>
    </w:p>
    <w:p>
      <w:pPr>
        <w:spacing w:after="80" w:before="80"/>
      </w:pPr>
      <w:r>
        <w:rPr>
          <w:b/>
          <w:bCs/>
        </w:rPr>
        <w:t xml:space="preserve">NOW, THEREFORE</w:t>
      </w:r>
      <w:r>
        <w:t xml:space="preserve">, in consideration of the mutual covenants and conditions set forth in this Agreement, and for other good and valuable consideration, the receipt and sufficiency of which are hereby acknowledged, the Parties agree as follows:</w:t>
      </w:r>
    </w:p>
    <w:p>
      <w:pPr>
        <w:pBdr>
          <w:bottom w:val="single" w:color="888888" w:sz="6" w:space="1"/>
        </w:pBdr>
        <w:spacing w:after="240" w:before="240"/>
      </w:pPr>
    </w:p>
    <w:p>
      <w:pPr>
        <w:pStyle w:val="Heading3"/>
      </w:pPr>
      <w:r>
        <w:t xml:space="preserve">1. ASSIGNMENT</w:t>
      </w:r>
    </w:p>
    <w:p>
      <w:pPr>
        <w:spacing w:after="80" w:before="80"/>
      </w:pPr>
      <w:r>
        <w:rPr>
          <w:b/>
          <w:bCs/>
        </w:rPr>
        <w:t xml:space="preserve">1.1 Assignment of Rights.</w:t>
      </w:r>
      <w:r>
        <w:t xml:space="preserve"> The Assignor hereby irrevocably assigns, transfers, conveys, and delivers to the Assignee, and its successors and assigns, all of the Assignor's right, title, and interest, throughout the world, in and to the Assigned IP, including without limitation:</w:t>
      </w:r>
    </w:p>
    <w:p>
      <w:pPr>
        <w:spacing w:after="80" w:before="80"/>
      </w:pPr>
      <w:r>
        <w:t xml:space="preserve">  (a) all copyrights and copyrightable works embodied in or relating to the Assigned IP, including all source code, object code, documentation, written materials, designs, illustrations, screenshots, photographs, audiovisual content, and any derivative works thereof;</w:t>
      </w:r>
    </w:p>
    <w:p>
      <w:pPr>
        <w:spacing w:after="80" w:before="80"/>
      </w:pPr>
      <w:r>
        <w:t xml:space="preserve">  (b) all patents, patent applications (provisional and non-provisional), and rights to file patent applications relating to or arising from the Assigned IP, including without limitation any rights in the radial correlation visualization invention described in the assignor's provisional patent application titled "Radial Visualization of Live Correlation Structure for a Focus Financial Instrument and Its Peer Basket";</w:t>
      </w:r>
    </w:p>
    <w:p>
      <w:pPr>
        <w:spacing w:after="80" w:before="80"/>
      </w:pPr>
      <w:r>
        <w:t xml:space="preserve">  (c) all trademarks, service marks, trade names, domain names, logos, and trade dress, whether registered or unregistered, used or proposed to be used in connection with the HackTrader product or the Penguins LLC brand, including without limitation the wordmark "HackTrader" and any associated logos or designs;</w:t>
      </w:r>
    </w:p>
    <w:p>
      <w:pPr>
        <w:spacing w:after="80" w:before="80"/>
      </w:pPr>
      <w:r>
        <w:t xml:space="preserve">  (d) all trade secrets, know-how, methodologies, formulas, techniques, processes, technical data, and confidential information embodied in or relating to the Assigned IP, including without limitation the scoring methodology implemented in the source file </w:t>
      </w:r>
      <w:r>
        <w:rPr>
          <w:rFonts w:ascii="Courier New" w:cs="Courier New" w:eastAsia="Courier New" w:hAnsi="Courier New"/>
          <w:color w:val="7A4F0A"/>
          <w:sz w:val="20"/>
          <w:szCs w:val="20"/>
        </w:rPr>
        <w:t xml:space="preserve">run-brk.py</w:t>
      </w:r>
      <w:r>
        <w:t xml:space="preserve">;</w:t>
      </w:r>
    </w:p>
    <w:p>
      <w:pPr>
        <w:spacing w:after="80" w:before="80"/>
      </w:pPr>
      <w:r>
        <w:t xml:space="preserve">  (e) all rights to sue for and recover damages, profits, and other relief on account of any past, present, or future infringement, misappropriation, or unauthorized use of the foregoing;</w:t>
      </w:r>
    </w:p>
    <w:p>
      <w:pPr>
        <w:spacing w:after="80" w:before="80"/>
      </w:pPr>
      <w:r>
        <w:t xml:space="preserve">  (f) all moral rights, droit moral, and similar rights, to the extent such rights exist and may be assigned under applicable law (and to the extent such rights cannot be assigned under applicable law, the Assignor hereby waives such rights and consents to the Assignee's use, modification, and exploitation of the Assigned IP without attribution and without any further compensation);</w:t>
      </w:r>
    </w:p>
    <w:p>
      <w:pPr>
        <w:spacing w:after="80" w:before="80"/>
      </w:pPr>
      <w:r>
        <w:t xml:space="preserve">  (g) all rights to file, prosecute, maintain, and defend registrations and applications for any of the foregoing, in any jurisdiction worldwide; and</w:t>
      </w:r>
    </w:p>
    <w:p>
      <w:pPr>
        <w:spacing w:after="80" w:before="80"/>
      </w:pPr>
      <w:r>
        <w:t xml:space="preserve">  (h) all goodwill associated with any of the foregoing.</w:t>
      </w:r>
    </w:p>
    <w:p>
      <w:pPr>
        <w:spacing w:after="80" w:before="80"/>
      </w:pPr>
      <w:r>
        <w:rPr>
          <w:b/>
          <w:bCs/>
        </w:rPr>
        <w:t xml:space="preserve">1.2 No Reservation of Rights.</w:t>
      </w:r>
      <w:r>
        <w:t xml:space="preserve"> The Assignor reserves no rights in the Assigned IP, except as may be expressly granted back to the Assignor by the Assignee in a separate written agreement.</w:t>
      </w:r>
    </w:p>
    <w:p>
      <w:pPr>
        <w:pBdr>
          <w:bottom w:val="single" w:color="888888" w:sz="6" w:space="1"/>
        </w:pBdr>
        <w:spacing w:after="240" w:before="240"/>
      </w:pPr>
    </w:p>
    <w:p>
      <w:pPr>
        <w:pStyle w:val="Heading3"/>
      </w:pPr>
      <w:r>
        <w:t xml:space="preserve">2. CONSIDERATION</w:t>
      </w:r>
    </w:p>
    <w:p>
      <w:pPr>
        <w:spacing w:after="80" w:before="80"/>
      </w:pPr>
      <w:r>
        <w:rPr>
          <w:b/>
          <w:bCs/>
        </w:rPr>
        <w:t xml:space="preserve">2.1 Consideration.</w:t>
      </w:r>
      <w:r>
        <w:t xml:space="preserve"> As consideration for the assignment of the Assigned IP under this Agreement, the Assignee has issued to the Assignor a membership interest in the Assignee (the "</w:t>
      </w:r>
      <w:r>
        <w:rPr>
          <w:b/>
          <w:bCs/>
        </w:rPr>
        <w:t xml:space="preserve">Membership Interest</w:t>
      </w:r>
      <w:r>
        <w:t xml:space="preserve">"), the receipt and sufficiency of which the Assignor hereby acknowledges. The Parties agree that the Membership Interest constitutes good and valuable consideration for the assignment described herein.</w:t>
      </w:r>
    </w:p>
    <w:p>
      <w:pPr>
        <w:spacing w:after="80" w:before="80"/>
      </w:pPr>
      <w:r>
        <w:rPr>
          <w:i/>
          <w:iCs/>
        </w:rPr>
        <w:t xml:space="preserve">[Alternative consideration language if no membership interest is being issued: "Ten Dollars ($10.00) and other good and valuable consideration, the receipt and sufficiency of which is hereby acknowledged."]</w:t>
      </w:r>
    </w:p>
    <w:p>
      <w:pPr>
        <w:pBdr>
          <w:bottom w:val="single" w:color="888888" w:sz="6" w:space="1"/>
        </w:pBdr>
        <w:spacing w:after="240" w:before="240"/>
      </w:pPr>
    </w:p>
    <w:p>
      <w:pPr>
        <w:pStyle w:val="Heading3"/>
      </w:pPr>
      <w:r>
        <w:t xml:space="preserve">3. ASSIGNOR'S REPRESENTATIONS AND WARRANTIES</w:t>
      </w:r>
    </w:p>
    <w:p>
      <w:pPr>
        <w:spacing w:after="80" w:before="80"/>
      </w:pPr>
      <w:r>
        <w:t xml:space="preserve">The Assignor represents and warrants to the Assignee as of the Effective Date that:</w:t>
      </w:r>
    </w:p>
    <w:p>
      <w:pPr>
        <w:spacing w:after="80" w:before="80"/>
      </w:pPr>
      <w:r>
        <w:rPr>
          <w:b/>
          <w:bCs/>
        </w:rPr>
        <w:t xml:space="preserve">3.1 Ownership.</w:t>
      </w:r>
      <w:r>
        <w:t xml:space="preserve"> The Assignor is the sole and exclusive owner of all right, title, and interest in and to the Assigned IP, free and clear of any liens, encumbrances, licenses, or other claims of third parties.</w:t>
      </w:r>
    </w:p>
    <w:p>
      <w:pPr>
        <w:spacing w:after="80" w:before="80"/>
      </w:pPr>
      <w:r>
        <w:rPr>
          <w:b/>
          <w:bCs/>
        </w:rPr>
        <w:t xml:space="preserve">3.2 Authority.</w:t>
      </w:r>
      <w:r>
        <w:t xml:space="preserve"> The Assignor has full right, power, and authority to enter into this Agreement and to assign the Assigned IP as set forth herein.</w:t>
      </w:r>
    </w:p>
    <w:p>
      <w:pPr>
        <w:spacing w:after="80" w:before="80"/>
      </w:pPr>
      <w:r>
        <w:rPr>
          <w:b/>
          <w:bCs/>
        </w:rPr>
        <w:t xml:space="preserve">3.3 No Prior Assignment.</w:t>
      </w:r>
      <w:r>
        <w:t xml:space="preserve"> The Assignor has not previously assigned, transferred, licensed, encumbered, or otherwise disposed of any right, title, or interest in or to the Assigned IP, except as may be necessary to allow the Assignee to use the Assigned IP in the ordinary course of its business prior to the Effective Date.</w:t>
      </w:r>
    </w:p>
    <w:p>
      <w:pPr>
        <w:spacing w:after="80" w:before="80"/>
      </w:pPr>
      <w:r>
        <w:rPr>
          <w:b/>
          <w:bCs/>
        </w:rPr>
        <w:t xml:space="preserve">3.4 No Infringement.</w:t>
      </w:r>
      <w:r>
        <w:t xml:space="preserve"> To the Assignor's knowledge, the Assigned IP does not infringe, misappropriate, or violate any intellectual property right or other proprietary right of any third party. The Assignor has not received any written notice or claim alleging any such infringement, misappropriation, or violation.</w:t>
      </w:r>
    </w:p>
    <w:p>
      <w:pPr>
        <w:spacing w:after="80" w:before="80"/>
      </w:pPr>
      <w:r>
        <w:rPr>
          <w:b/>
          <w:bCs/>
        </w:rPr>
        <w:t xml:space="preserve">3.5 No Open Source Contamination.</w:t>
      </w:r>
      <w:r>
        <w:t xml:space="preserve"> The source code components of the Assigned IP do not incorporate any third-party open-source software in a manner that would require the Assigned IP to be made available under the terms of any open-source license, except for permissibly-licensed dependencies that do not impose copyleft obligations on the Assigned IP itself.</w:t>
      </w:r>
    </w:p>
    <w:p>
      <w:pPr>
        <w:spacing w:after="80" w:before="80"/>
      </w:pPr>
      <w:r>
        <w:rPr>
          <w:b/>
          <w:bCs/>
        </w:rPr>
        <w:t xml:space="preserve">3.6 Documentation.</w:t>
      </w:r>
      <w:r>
        <w:t xml:space="preserve"> The Assignor has delivered or will deliver to the Assignee all source code, documentation, login credentials, repository access, and other tangible materials embodying the Assigned IP that are reasonably necessary for the Assignee to exercise its rights in the Assigned IP.</w:t>
      </w:r>
    </w:p>
    <w:p>
      <w:pPr>
        <w:pBdr>
          <w:bottom w:val="single" w:color="888888" w:sz="6" w:space="1"/>
        </w:pBdr>
        <w:spacing w:after="240" w:before="240"/>
      </w:pPr>
    </w:p>
    <w:p>
      <w:pPr>
        <w:pStyle w:val="Heading3"/>
      </w:pPr>
      <w:r>
        <w:t xml:space="preserve">4. FURTHER ASSURANCES</w:t>
      </w:r>
    </w:p>
    <w:p>
      <w:pPr>
        <w:spacing w:after="80" w:before="80"/>
      </w:pPr>
      <w:r>
        <w:rPr>
          <w:b/>
          <w:bCs/>
        </w:rPr>
        <w:t xml:space="preserve">4.1 Cooperation.</w:t>
      </w:r>
      <w:r>
        <w:t xml:space="preserve"> The Assignor agrees to execute and deliver, at the Assignee's request and the Assignee's reasonable expense, any additional documents, declarations, oaths, assignments, or instruments, and to take any further actions, that may reasonably be necessary to perfect, evidence, record, or enforce the Assignee's ownership of the Assigned IP. This includes without limitation: (i) execution of any documents required to record the assignment with the U.S. Copyright Office, U.S. Patent and Trademark Office, or any analogous foreign authority; (ii) execution of any oaths or declarations required for the prosecution of patent applications; and (iii) cooperation with the Assignee in any litigation involving the Assigned IP.</w:t>
      </w:r>
    </w:p>
    <w:p>
      <w:pPr>
        <w:spacing w:after="80" w:before="80"/>
      </w:pPr>
      <w:r>
        <w:rPr>
          <w:b/>
          <w:bCs/>
        </w:rPr>
        <w:t xml:space="preserve">4.2 Power of Attorney.</w:t>
      </w:r>
      <w:r>
        <w:t xml:space="preserve"> If the Assignor fails or refuses to execute any document or take any action reasonably required under this Agreement, the Assignor hereby irrevocably appoints the Assignee as the Assignor's attorney-in-fact, with full power of substitution, to execute such documents and take such actions in the Assignor's name and on the Assignor's behalf.</w:t>
      </w:r>
    </w:p>
    <w:p>
      <w:pPr>
        <w:pBdr>
          <w:bottom w:val="single" w:color="888888" w:sz="6" w:space="1"/>
        </w:pBdr>
        <w:spacing w:after="240" w:before="240"/>
      </w:pPr>
    </w:p>
    <w:p>
      <w:pPr>
        <w:pStyle w:val="Heading3"/>
      </w:pPr>
      <w:r>
        <w:t xml:space="preserve">5. GOVERNING LAW; JURISDICTION</w:t>
      </w:r>
    </w:p>
    <w:p>
      <w:pPr>
        <w:spacing w:after="80" w:before="80"/>
      </w:pPr>
      <w:r>
        <w:t xml:space="preserve">This Agreement shall be governed by and construed in accordance with the laws of the State of California, without regard to its conflict-of-laws principles. Any dispute arising out of or relating to this Agreement shall be brought exclusively in the state or federal courts located in Orange County, California, and the Parties hereby consent to the personal jurisdiction of such courts.</w:t>
      </w:r>
    </w:p>
    <w:p>
      <w:pPr>
        <w:pBdr>
          <w:bottom w:val="single" w:color="888888" w:sz="6" w:space="1"/>
        </w:pBdr>
        <w:spacing w:after="240" w:before="240"/>
      </w:pPr>
    </w:p>
    <w:p>
      <w:pPr>
        <w:pStyle w:val="Heading3"/>
      </w:pPr>
      <w:r>
        <w:t xml:space="preserve">6. MISCELLANEOUS</w:t>
      </w:r>
    </w:p>
    <w:p>
      <w:pPr>
        <w:spacing w:after="80" w:before="80"/>
      </w:pPr>
      <w:r>
        <w:rPr>
          <w:b/>
          <w:bCs/>
        </w:rPr>
        <w:t xml:space="preserve">6.1 Entire Agreement.</w:t>
      </w:r>
      <w:r>
        <w:t xml:space="preserve"> This Agreement, together with </w:t>
      </w:r>
      <w:r>
        <w:rPr>
          <w:i/>
          <w:iCs/>
        </w:rPr>
        <w:t xml:space="preserve">Schedule A</w:t>
      </w:r>
      <w:r>
        <w:t xml:space="preserve"> hereto, constitutes the entire agreement between the Parties with respect to the subject matter hereof and supersedes all prior or contemporaneous oral or written agreements, communications, or representations with respect to such subject matter.</w:t>
      </w:r>
    </w:p>
    <w:p>
      <w:pPr>
        <w:spacing w:after="80" w:before="80"/>
      </w:pPr>
      <w:r>
        <w:rPr>
          <w:b/>
          <w:bCs/>
        </w:rPr>
        <w:t xml:space="preserve">6.2 Amendments.</w:t>
      </w:r>
      <w:r>
        <w:t xml:space="preserve"> This Agreement may not be amended or modified except by a written instrument signed by both Parties.</w:t>
      </w:r>
    </w:p>
    <w:p>
      <w:pPr>
        <w:spacing w:after="80" w:before="80"/>
      </w:pPr>
      <w:r>
        <w:rPr>
          <w:b/>
          <w:bCs/>
        </w:rPr>
        <w:t xml:space="preserve">6.3 Successors and Assigns.</w:t>
      </w:r>
      <w:r>
        <w:t xml:space="preserve"> This Agreement shall be binding upon and inure to the benefit of the Parties and their respective heirs, successors, and permitted assigns. The Assignee may freely assign this Agreement without the consent of the Assignor.</w:t>
      </w:r>
    </w:p>
    <w:p>
      <w:pPr>
        <w:spacing w:after="80" w:before="80"/>
      </w:pPr>
      <w:r>
        <w:rPr>
          <w:b/>
          <w:bCs/>
        </w:rPr>
        <w:t xml:space="preserve">6.4 Severability.</w:t>
      </w:r>
      <w:r>
        <w:t xml:space="preserve"> If any provision of this Agreement is held to be invalid or unenforceable, the remaining provisions shall remain in full force and effect.</w:t>
      </w:r>
    </w:p>
    <w:p>
      <w:pPr>
        <w:spacing w:after="80" w:before="80"/>
      </w:pPr>
      <w:r>
        <w:rPr>
          <w:b/>
          <w:bCs/>
        </w:rPr>
        <w:t xml:space="preserve">6.5 Counterparts; Electronic Signatures.</w:t>
      </w:r>
      <w:r>
        <w:t xml:space="preserve"> This Agreement may be executed in counterparts, each of which shall be deemed an original and all of which together shall constitute one and the same instrument. Signatures delivered by electronic means (including by emailed PDF or by an electronic signature platform such as DocuSign) shall be deemed valid and binding to the same extent as original ink signatures.</w:t>
      </w:r>
    </w:p>
    <w:p>
      <w:pPr>
        <w:pBdr>
          <w:bottom w:val="single" w:color="888888" w:sz="6" w:space="1"/>
        </w:pBdr>
        <w:spacing w:after="240" w:before="240"/>
      </w:pPr>
    </w:p>
    <w:p>
      <w:pPr>
        <w:spacing w:after="80" w:before="80"/>
      </w:pPr>
      <w:r>
        <w:rPr>
          <w:b/>
          <w:bCs/>
        </w:rPr>
        <w:t xml:space="preserve">IN WITNESS WHEREOF</w:t>
      </w:r>
      <w:r>
        <w:t xml:space="preserve">, the Parties have executed this Agreement as of the Effective Date first written above.</w:t>
      </w:r>
    </w:p>
    <w:p>
      <w:pPr>
        <w:spacing w:after="80" w:before="80"/>
      </w:pPr>
      <w:r>
        <w:t xml:space="preserve">&lt;br&gt;</w:t>
      </w:r>
    </w:p>
    <w:p>
      <w:pPr>
        <w:spacing w:after="80" w:before="80"/>
      </w:pPr>
      <w:r>
        <w:rPr>
          <w:b/>
          <w:bCs/>
        </w:rPr>
        <w:t xml:space="preserve">ASSIGNOR</w:t>
      </w:r>
    </w:p>
    <w:p>
      <w:pPr>
        <w:spacing w:after="80" w:before="80"/>
      </w:pPr>
      <w:r>
        <w:t xml:space="preserve">&lt;br&gt;</w:t>
      </w:r>
    </w:p>
    <w:p>
      <w:pPr>
        <w:spacing w:after="80" w:before="80"/>
      </w:pPr>
      <w:r>
        <w:t xml:space="preserve">\_______________________________________ Jayson Hawley, individually</w:t>
      </w:r>
    </w:p>
    <w:p>
      <w:pPr>
        <w:spacing w:after="80" w:before="80"/>
      </w:pPr>
      <w:r>
        <w:t xml:space="preserve">Date: \_______________________________</w:t>
      </w:r>
    </w:p>
    <w:p>
      <w:pPr>
        <w:spacing w:after="80" w:before="80"/>
      </w:pPr>
      <w:r>
        <w:t xml:space="preserve">&lt;br&gt;</w:t>
      </w:r>
    </w:p>
    <w:p>
      <w:pPr>
        <w:spacing w:after="80" w:before="80"/>
      </w:pPr>
      <w:r>
        <w:t xml:space="preserve">&lt;br&gt;</w:t>
      </w:r>
    </w:p>
    <w:p>
      <w:pPr>
        <w:spacing w:after="80" w:before="80"/>
      </w:pPr>
      <w:r>
        <w:rPr>
          <w:b/>
          <w:bCs/>
        </w:rPr>
        <w:t xml:space="preserve">ASSIGNEE: PENGUINS LLC</w:t>
      </w:r>
    </w:p>
    <w:p>
      <w:pPr>
        <w:spacing w:after="80" w:before="80"/>
      </w:pPr>
      <w:r>
        <w:t xml:space="preserve">&lt;br&gt;</w:t>
      </w:r>
    </w:p>
    <w:p>
      <w:pPr>
        <w:spacing w:after="80" w:before="80"/>
      </w:pPr>
      <w:r>
        <w:t xml:space="preserve">\_______________________________________ By: Jayson Hawley Title: </w:t>
      </w:r>
      <w:r>
        <w:t xml:space="preserve">[</w:t>
      </w:r>
      <w:r>
        <w:t xml:space="preserve">Sole Member / Manager]</w:t>
      </w:r>
    </w:p>
    <w:p>
      <w:pPr>
        <w:spacing w:after="80" w:before="80"/>
      </w:pPr>
      <w:r>
        <w:t xml:space="preserve">Date: \_______________________________</w:t>
      </w:r>
    </w:p>
    <w:p>
      <w:pPr>
        <w:pBdr>
          <w:bottom w:val="single" w:color="888888" w:sz="6" w:space="1"/>
        </w:pBdr>
        <w:spacing w:after="240" w:before="240"/>
      </w:pPr>
    </w:p>
    <w:p>
      <w:pPr>
        <w:pStyle w:val="Heading2"/>
      </w:pPr>
      <w:r>
        <w:t xml:space="preserve">SCHEDULE A</w:t>
      </w:r>
    </w:p>
    <w:p>
      <w:pPr>
        <w:pStyle w:val="Heading3"/>
      </w:pPr>
      <w:r>
        <w:t xml:space="preserve">Description of Assigned IP</w:t>
      </w:r>
    </w:p>
    <w:p>
      <w:pPr>
        <w:spacing w:after="80" w:before="80"/>
      </w:pPr>
      <w:r>
        <w:t xml:space="preserve">The Assigned IP includes, without limitation, all of the following:</w:t>
      </w:r>
    </w:p>
    <w:p>
      <w:pPr>
        <w:pStyle w:val="Heading4"/>
      </w:pPr>
      <w:r>
        <w:t xml:space="preserve">A. Software and Source Code</w:t>
      </w:r>
    </w:p>
    <w:p>
      <w:pPr>
        <w:spacing w:after="80" w:before="80"/>
      </w:pPr>
      <w:r>
        <w:t xml:space="preserve">The complete source code repository of the </w:t>
      </w:r>
      <w:r>
        <w:rPr>
          <w:b/>
          <w:bCs/>
        </w:rPr>
        <w:t xml:space="preserve">HackTrader</w:t>
      </w:r>
      <w:r>
        <w:t xml:space="preserve"> product, including:</w:t>
      </w:r>
    </w:p>
    <w:p>
      <w:pPr>
        <w:pStyle w:val="ListParagraph"/>
        <w:numPr>
          <w:ilvl w:val="0"/>
          <w:numId w:val="2"/>
        </w:numPr>
      </w:pPr>
      <w:r>
        <w:t xml:space="preserve">All PHP source files comprising the web application (including without limitation </w:t>
      </w:r>
      <w:r>
        <w:rPr>
          <w:rFonts w:ascii="Courier New" w:cs="Courier New" w:eastAsia="Courier New" w:hAnsi="Courier New"/>
          <w:color w:val="7A4F0A"/>
          <w:sz w:val="20"/>
          <w:szCs w:val="20"/>
        </w:rPr>
        <w:t xml:space="preserve">dashboard.php</w:t>
      </w:r>
      <w:r>
        <w:t xml:space="preserve">, </w:t>
      </w:r>
      <w:r>
        <w:rPr>
          <w:rFonts w:ascii="Courier New" w:cs="Courier New" w:eastAsia="Courier New" w:hAnsi="Courier New"/>
          <w:color w:val="7A4F0A"/>
          <w:sz w:val="20"/>
          <w:szCs w:val="20"/>
        </w:rPr>
        <w:t xml:space="preserve">index.php</w:t>
      </w:r>
      <w:r>
        <w:t xml:space="preserve">, </w:t>
      </w:r>
      <w:r>
        <w:rPr>
          <w:rFonts w:ascii="Courier New" w:cs="Courier New" w:eastAsia="Courier New" w:hAnsi="Courier New"/>
          <w:color w:val="7A4F0A"/>
          <w:sz w:val="20"/>
          <w:szCs w:val="20"/>
        </w:rPr>
        <w:t xml:space="preserve">api.php</w:t>
      </w:r>
      <w:r>
        <w:t xml:space="preserve">, </w:t>
      </w:r>
      <w:r>
        <w:rPr>
          <w:rFonts w:ascii="Courier New" w:cs="Courier New" w:eastAsia="Courier New" w:hAnsi="Courier New"/>
          <w:color w:val="7A4F0A"/>
          <w:sz w:val="20"/>
          <w:szCs w:val="20"/>
        </w:rPr>
        <w:t xml:space="preserve">correlate.php</w:t>
      </w:r>
      <w:r>
        <w:t xml:space="preserve">, </w:t>
      </w:r>
      <w:r>
        <w:rPr>
          <w:rFonts w:ascii="Courier New" w:cs="Courier New" w:eastAsia="Courier New" w:hAnsi="Courier New"/>
          <w:color w:val="7A4F0A"/>
          <w:sz w:val="20"/>
          <w:szCs w:val="20"/>
        </w:rPr>
        <w:t xml:space="preserve">subscribe.php</w:t>
      </w:r>
      <w:r>
        <w:t xml:space="preserve">, </w:t>
      </w:r>
      <w:r>
        <w:rPr>
          <w:rFonts w:ascii="Courier New" w:cs="Courier New" w:eastAsia="Courier New" w:hAnsi="Courier New"/>
          <w:color w:val="7A4F0A"/>
          <w:sz w:val="20"/>
          <w:szCs w:val="20"/>
        </w:rPr>
        <w:t xml:space="preserve">billing.php</w:t>
      </w:r>
      <w:r>
        <w:t xml:space="preserve">, </w:t>
      </w:r>
      <w:r>
        <w:rPr>
          <w:rFonts w:ascii="Courier New" w:cs="Courier New" w:eastAsia="Courier New" w:hAnsi="Courier New"/>
          <w:color w:val="7A4F0A"/>
          <w:sz w:val="20"/>
          <w:szCs w:val="20"/>
        </w:rPr>
        <w:t xml:space="preserve">webhook.php</w:t>
      </w:r>
      <w:r>
        <w:t xml:space="preserve">, </w:t>
      </w:r>
      <w:r>
        <w:rPr>
          <w:rFonts w:ascii="Courier New" w:cs="Courier New" w:eastAsia="Courier New" w:hAnsi="Courier New"/>
          <w:color w:val="7A4F0A"/>
          <w:sz w:val="20"/>
          <w:szCs w:val="20"/>
        </w:rPr>
        <w:t xml:space="preserve">callback.php</w:t>
      </w:r>
      <w:r>
        <w:t xml:space="preserve">, </w:t>
      </w:r>
      <w:r>
        <w:rPr>
          <w:rFonts w:ascii="Courier New" w:cs="Courier New" w:eastAsia="Courier New" w:hAnsi="Courier New"/>
          <w:color w:val="7A4F0A"/>
          <w:sz w:val="20"/>
          <w:szCs w:val="20"/>
        </w:rPr>
        <w:t xml:space="preserve">disclaimer.php</w:t>
      </w:r>
      <w:r>
        <w:t xml:space="preserve">, </w:t>
      </w:r>
      <w:r>
        <w:rPr>
          <w:rFonts w:ascii="Courier New" w:cs="Courier New" w:eastAsia="Courier New" w:hAnsi="Courier New"/>
          <w:color w:val="7A4F0A"/>
          <w:sz w:val="20"/>
          <w:szCs w:val="20"/>
        </w:rPr>
        <w:t xml:space="preserve">me.php</w:t>
      </w:r>
      <w:r>
        <w:t xml:space="preserve">, and </w:t>
      </w:r>
      <w:r>
        <w:rPr>
          <w:rFonts w:ascii="Courier New" w:cs="Courier New" w:eastAsia="Courier New" w:hAnsi="Courier New"/>
          <w:color w:val="7A4F0A"/>
          <w:sz w:val="20"/>
          <w:szCs w:val="20"/>
        </w:rPr>
        <w:t xml:space="preserve">test-login.php</w:t>
      </w:r>
      <w:r>
        <w:t xml:space="preserve">);</w:t>
      </w:r>
    </w:p>
    <w:p>
      <w:pPr>
        <w:pStyle w:val="ListParagraph"/>
        <w:numPr>
          <w:ilvl w:val="0"/>
          <w:numId w:val="2"/>
        </w:numPr>
      </w:pPr>
      <w:r>
        <w:t xml:space="preserve">All Python source files comprising the analytical pipeline (including without limitation </w:t>
      </w:r>
      <w:r>
        <w:rPr>
          <w:rFonts w:ascii="Courier New" w:cs="Courier New" w:eastAsia="Courier New" w:hAnsi="Courier New"/>
          <w:color w:val="7A4F0A"/>
          <w:sz w:val="20"/>
          <w:szCs w:val="20"/>
        </w:rPr>
        <w:t xml:space="preserve">run-brk.py</w:t>
      </w:r>
      <w:r>
        <w:t xml:space="preserve">, </w:t>
      </w:r>
      <w:r>
        <w:rPr>
          <w:rFonts w:ascii="Courier New" w:cs="Courier New" w:eastAsia="Courier New" w:hAnsi="Courier New"/>
          <w:color w:val="7A4F0A"/>
          <w:sz w:val="20"/>
          <w:szCs w:val="20"/>
        </w:rPr>
        <w:t xml:space="preserve">generate-correlations.py</w:t>
      </w:r>
      <w:r>
        <w:t xml:space="preserve">, </w:t>
      </w:r>
      <w:r>
        <w:rPr>
          <w:rFonts w:ascii="Courier New" w:cs="Courier New" w:eastAsia="Courier New" w:hAnsi="Courier New"/>
          <w:color w:val="7A4F0A"/>
          <w:sz w:val="20"/>
          <w:szCs w:val="20"/>
        </w:rPr>
        <w:t xml:space="preserve">market-cache-updater.py</w:t>
      </w:r>
      <w:r>
        <w:t xml:space="preserve">, and </w:t>
      </w:r>
      <w:r>
        <w:rPr>
          <w:rFonts w:ascii="Courier New" w:cs="Courier New" w:eastAsia="Courier New" w:hAnsi="Courier New"/>
          <w:color w:val="7A4F0A"/>
          <w:sz w:val="20"/>
          <w:szCs w:val="20"/>
        </w:rPr>
        <w:t xml:space="preserve">scripts/backtest_breakout.py</w:t>
      </w:r>
      <w:r>
        <w:t xml:space="preserve">);</w:t>
      </w:r>
    </w:p>
    <w:p>
      <w:pPr>
        <w:pStyle w:val="ListParagraph"/>
        <w:numPr>
          <w:ilvl w:val="0"/>
          <w:numId w:val="2"/>
        </w:numPr>
      </w:pPr>
      <w:r>
        <w:t xml:space="preserve">All JavaScript code embedded within the foregoing PHP files;</w:t>
      </w:r>
    </w:p>
    <w:p>
      <w:pPr>
        <w:pStyle w:val="ListParagraph"/>
        <w:numPr>
          <w:ilvl w:val="0"/>
          <w:numId w:val="2"/>
        </w:numPr>
      </w:pPr>
      <w:r>
        <w:t xml:space="preserve">All HTML, CSS, and configuration files (including without limitation </w:t>
      </w:r>
      <w:r>
        <w:rPr>
          <w:rFonts w:ascii="Courier New" w:cs="Courier New" w:eastAsia="Courier New" w:hAnsi="Courier New"/>
          <w:color w:val="7A4F0A"/>
          <w:sz w:val="20"/>
          <w:szCs w:val="20"/>
        </w:rPr>
        <w:t xml:space="preserve">correlations.json</w:t>
      </w:r>
      <w:r>
        <w:t xml:space="preserve">, </w:t>
      </w:r>
      <w:r>
        <w:rPr>
          <w:rFonts w:ascii="Courier New" w:cs="Courier New" w:eastAsia="Courier New" w:hAnsi="Courier New"/>
          <w:color w:val="7A4F0A"/>
          <w:sz w:val="20"/>
          <w:szCs w:val="20"/>
        </w:rPr>
        <w:t xml:space="preserve">lib/plans.php</w:t>
      </w:r>
      <w:r>
        <w:t xml:space="preserve">, </w:t>
      </w:r>
      <w:r>
        <w:rPr>
          <w:rFonts w:ascii="Courier New" w:cs="Courier New" w:eastAsia="Courier New" w:hAnsi="Courier New"/>
          <w:color w:val="7A4F0A"/>
          <w:sz w:val="20"/>
          <w:szCs w:val="20"/>
        </w:rPr>
        <w:t xml:space="preserve">lib/db.php</w:t>
      </w:r>
      <w:r>
        <w:t xml:space="preserve">, </w:t>
      </w:r>
      <w:r>
        <w:rPr>
          <w:rFonts w:ascii="Courier New" w:cs="Courier New" w:eastAsia="Courier New" w:hAnsi="Courier New"/>
          <w:color w:val="7A4F0A"/>
          <w:sz w:val="20"/>
          <w:szCs w:val="20"/>
        </w:rPr>
        <w:t xml:space="preserve">lib/subscription.php</w:t>
      </w:r>
      <w:r>
        <w:t xml:space="preserve">, and </w:t>
      </w:r>
      <w:r>
        <w:rPr>
          <w:rFonts w:ascii="Courier New" w:cs="Courier New" w:eastAsia="Courier New" w:hAnsi="Courier New"/>
          <w:color w:val="7A4F0A"/>
          <w:sz w:val="20"/>
          <w:szCs w:val="20"/>
        </w:rPr>
        <w:t xml:space="preserve">lib/api_auth.php</w:t>
      </w:r>
      <w:r>
        <w:t xml:space="preserve">);</w:t>
      </w:r>
    </w:p>
    <w:p>
      <w:pPr>
        <w:pStyle w:val="ListParagraph"/>
        <w:numPr>
          <w:ilvl w:val="0"/>
          <w:numId w:val="2"/>
        </w:numPr>
      </w:pPr>
      <w:r>
        <w:t xml:space="preserve">All test code, build scripts, deployment scripts, and supporting infrastructure files; and</w:t>
      </w:r>
    </w:p>
    <w:p>
      <w:pPr>
        <w:pStyle w:val="ListParagraph"/>
        <w:numPr>
          <w:ilvl w:val="0"/>
          <w:numId w:val="2"/>
        </w:numPr>
      </w:pPr>
      <w:r>
        <w:t xml:space="preserve">The version history of all of the foregoing.</w:t>
      </w:r>
    </w:p>
    <w:p>
      <w:pPr>
        <w:pStyle w:val="Heading4"/>
      </w:pPr>
      <w:r>
        <w:t xml:space="preserve">B. Trademarks and Brand Assets</w:t>
      </w:r>
    </w:p>
    <w:p>
      <w:pPr>
        <w:pStyle w:val="ListParagraph"/>
        <w:numPr>
          <w:ilvl w:val="0"/>
          <w:numId w:val="2"/>
        </w:numPr>
      </w:pPr>
      <w:r>
        <w:t xml:space="preserve">The wordmark </w:t>
      </w:r>
      <w:r>
        <w:rPr>
          <w:b/>
          <w:bCs/>
        </w:rPr>
        <w:t xml:space="preserve">"HackTrader"</w:t>
      </w:r>
      <w:r>
        <w:t xml:space="preserve"> and any associated common-law and registered rights;</w:t>
      </w:r>
    </w:p>
    <w:p>
      <w:pPr>
        <w:pStyle w:val="ListParagraph"/>
        <w:numPr>
          <w:ilvl w:val="0"/>
          <w:numId w:val="2"/>
        </w:numPr>
      </w:pPr>
      <w:r>
        <w:t xml:space="preserve">All logos, taglines, design marks, and trade dress associated with the HackTrader product;</w:t>
      </w:r>
    </w:p>
    <w:p>
      <w:pPr>
        <w:pStyle w:val="ListParagraph"/>
        <w:numPr>
          <w:ilvl w:val="0"/>
          <w:numId w:val="2"/>
        </w:numPr>
      </w:pPr>
      <w:r>
        <w:t xml:space="preserve">The name </w:t>
      </w:r>
      <w:r>
        <w:rPr>
          <w:b/>
          <w:bCs/>
        </w:rPr>
        <w:t xml:space="preserve">"Penguins LLC"</w:t>
      </w:r>
      <w:r>
        <w:t xml:space="preserve"> and any associated brand assets;</w:t>
      </w:r>
    </w:p>
    <w:p>
      <w:pPr>
        <w:pStyle w:val="ListParagraph"/>
        <w:numPr>
          <w:ilvl w:val="0"/>
          <w:numId w:val="2"/>
        </w:numPr>
      </w:pPr>
      <w:r>
        <w:t xml:space="preserve">The penguin (🐧) iconography used as a brand mark; and</w:t>
      </w:r>
    </w:p>
    <w:p>
      <w:pPr>
        <w:pStyle w:val="ListParagraph"/>
        <w:numPr>
          <w:ilvl w:val="0"/>
          <w:numId w:val="2"/>
        </w:numPr>
      </w:pPr>
      <w:r>
        <w:t xml:space="preserve">Any registered or unregistered trade dress associated with the visual design of the HackTrader product.</w:t>
      </w:r>
    </w:p>
    <w:p>
      <w:pPr>
        <w:pStyle w:val="Heading4"/>
      </w:pPr>
      <w:r>
        <w:t xml:space="preserve">C. Patents and Patent Applications</w:t>
      </w:r>
    </w:p>
    <w:p>
      <w:pPr>
        <w:pStyle w:val="ListParagraph"/>
        <w:numPr>
          <w:ilvl w:val="0"/>
          <w:numId w:val="2"/>
        </w:numPr>
      </w:pPr>
      <w:r>
        <w:t xml:space="preserve">The provisional patent application titled "Radial Visualization of Live Correlation Structure for a Focus Financial Instrument and Its Peer Basket," together with the right to file any and all non-provisional, divisional, continuation, continuation-in-part, reissue, and foreign counterpart applications based thereon;</w:t>
      </w:r>
    </w:p>
    <w:p>
      <w:pPr>
        <w:pStyle w:val="ListParagraph"/>
        <w:numPr>
          <w:ilvl w:val="0"/>
          <w:numId w:val="2"/>
        </w:numPr>
      </w:pPr>
      <w:r>
        <w:t xml:space="preserve">All inventions described or claimed in the foregoing application; and</w:t>
      </w:r>
    </w:p>
    <w:p>
      <w:pPr>
        <w:pStyle w:val="ListParagraph"/>
        <w:numPr>
          <w:ilvl w:val="0"/>
          <w:numId w:val="2"/>
        </w:numPr>
      </w:pPr>
      <w:r>
        <w:t xml:space="preserve">Any other inventions made by the Assignor in the course of developing the HackTrader product, whether or not patent applications have been filed.</w:t>
      </w:r>
    </w:p>
    <w:p>
      <w:pPr>
        <w:pStyle w:val="Heading4"/>
      </w:pPr>
      <w:r>
        <w:t xml:space="preserve">D. Domain Names</w:t>
      </w:r>
    </w:p>
    <w:p>
      <w:pPr>
        <w:pStyle w:val="ListParagraph"/>
        <w:numPr>
          <w:ilvl w:val="0"/>
          <w:numId w:val="2"/>
        </w:numPr>
      </w:pPr>
      <w:r>
        <w:rPr>
          <w:rFonts w:ascii="Courier New" w:cs="Courier New" w:eastAsia="Courier New" w:hAnsi="Courier New"/>
          <w:color w:val="7A4F0A"/>
          <w:sz w:val="20"/>
          <w:szCs w:val="20"/>
        </w:rPr>
        <w:t xml:space="preserve">hacktrader.com</w:t>
      </w:r>
    </w:p>
    <w:p>
      <w:pPr>
        <w:pStyle w:val="ListParagraph"/>
        <w:numPr>
          <w:ilvl w:val="0"/>
          <w:numId w:val="2"/>
        </w:numPr>
      </w:pPr>
      <w:r>
        <w:rPr>
          <w:rFonts w:ascii="Courier New" w:cs="Courier New" w:eastAsia="Courier New" w:hAnsi="Courier New"/>
          <w:color w:val="7A4F0A"/>
          <w:sz w:val="20"/>
          <w:szCs w:val="20"/>
        </w:rPr>
        <w:t xml:space="preserve">dev.hacktrader.com</w:t>
      </w:r>
    </w:p>
    <w:p>
      <w:pPr>
        <w:pStyle w:val="ListParagraph"/>
        <w:numPr>
          <w:ilvl w:val="0"/>
          <w:numId w:val="2"/>
        </w:numPr>
      </w:pPr>
      <w:r>
        <w:rPr>
          <w:rFonts w:ascii="Courier New" w:cs="Courier New" w:eastAsia="Courier New" w:hAnsi="Courier New"/>
          <w:color w:val="7A4F0A"/>
          <w:sz w:val="20"/>
          <w:szCs w:val="20"/>
        </w:rPr>
        <w:t xml:space="preserve">pngs.us</w:t>
      </w:r>
    </w:p>
    <w:p>
      <w:pPr>
        <w:pStyle w:val="ListParagraph"/>
        <w:numPr>
          <w:ilvl w:val="0"/>
          <w:numId w:val="2"/>
        </w:numPr>
      </w:pPr>
      <w:r>
        <w:t xml:space="preserve">Any other domain names registered by the Assignor for use in connection with the HackTrader product or the Penguins LLC business.</w:t>
      </w:r>
    </w:p>
    <w:p>
      <w:pPr>
        <w:pStyle w:val="Heading4"/>
      </w:pPr>
      <w:r>
        <w:t xml:space="preserve">E. Documentation and Written Materials</w:t>
      </w:r>
    </w:p>
    <w:p>
      <w:pPr>
        <w:pStyle w:val="ListParagraph"/>
        <w:numPr>
          <w:ilvl w:val="0"/>
          <w:numId w:val="2"/>
        </w:numPr>
      </w:pPr>
      <w:r>
        <w:t xml:space="preserve">All written documentation, specifications, technical descriptions, architecture diagrams, design notes, and product narratives related to the HackTrader product;</w:t>
      </w:r>
    </w:p>
    <w:p>
      <w:pPr>
        <w:pStyle w:val="ListParagraph"/>
        <w:numPr>
          <w:ilvl w:val="0"/>
          <w:numId w:val="2"/>
        </w:numPr>
      </w:pPr>
      <w:r>
        <w:t xml:space="preserve">The provisional patent draft titled "Radial Visualization of Live Correlation Structure for a Focus Financial Instrument and Its Peer Basket";</w:t>
      </w:r>
    </w:p>
    <w:p>
      <w:pPr>
        <w:pStyle w:val="ListParagraph"/>
        <w:numPr>
          <w:ilvl w:val="0"/>
          <w:numId w:val="2"/>
        </w:numPr>
      </w:pPr>
      <w:r>
        <w:t xml:space="preserve">The UI review materials including the briefing document and the review report;</w:t>
      </w:r>
    </w:p>
    <w:p>
      <w:pPr>
        <w:pStyle w:val="ListParagraph"/>
        <w:numPr>
          <w:ilvl w:val="0"/>
          <w:numId w:val="2"/>
        </w:numPr>
      </w:pPr>
      <w:r>
        <w:t xml:space="preserve">The README.md, all release notes in </w:t>
      </w:r>
      <w:r>
        <w:rPr>
          <w:rFonts w:ascii="Courier New" w:cs="Courier New" w:eastAsia="Courier New" w:hAnsi="Courier New"/>
          <w:color w:val="7A4F0A"/>
          <w:sz w:val="20"/>
          <w:szCs w:val="20"/>
        </w:rPr>
        <w:t xml:space="preserve">docs/releases/</w:t>
      </w:r>
      <w:r>
        <w:t xml:space="preserve">, and any other documentation in the source code repository.</w:t>
      </w:r>
    </w:p>
    <w:p>
      <w:pPr>
        <w:pStyle w:val="Heading4"/>
      </w:pPr>
      <w:r>
        <w:t xml:space="preserve">F. Trade Secrets and Confidential Information</w:t>
      </w:r>
    </w:p>
    <w:p>
      <w:pPr>
        <w:pStyle w:val="ListParagraph"/>
        <w:numPr>
          <w:ilvl w:val="0"/>
          <w:numId w:val="2"/>
        </w:numPr>
      </w:pPr>
      <w:r>
        <w:t xml:space="preserve">The specific scoring methodology implemented in </w:t>
      </w:r>
      <w:r>
        <w:rPr>
          <w:rFonts w:ascii="Courier New" w:cs="Courier New" w:eastAsia="Courier New" w:hAnsi="Courier New"/>
          <w:color w:val="7A4F0A"/>
          <w:sz w:val="20"/>
          <w:szCs w:val="20"/>
        </w:rPr>
        <w:t xml:space="preserve">run-brk.py</w:t>
      </w:r>
      <w:r>
        <w:t xml:space="preserve">, including all weighting coefficients, calibration constants, threshold values, and supporting heuristics;</w:t>
      </w:r>
    </w:p>
    <w:p>
      <w:pPr>
        <w:pStyle w:val="ListParagraph"/>
        <w:numPr>
          <w:ilvl w:val="0"/>
          <w:numId w:val="2"/>
        </w:numPr>
      </w:pPr>
      <w:r>
        <w:t xml:space="preserve">All backtest results, calibration data, and methodological notes;</w:t>
      </w:r>
    </w:p>
    <w:p>
      <w:pPr>
        <w:pStyle w:val="ListParagraph"/>
        <w:numPr>
          <w:ilvl w:val="0"/>
          <w:numId w:val="2"/>
        </w:numPr>
      </w:pPr>
      <w:r>
        <w:t xml:space="preserve">Any customer data or analytics derived from operation of the HackTrader product (subject to applicable privacy laws); and</w:t>
      </w:r>
    </w:p>
    <w:p>
      <w:pPr>
        <w:pStyle w:val="ListParagraph"/>
        <w:numPr>
          <w:ilvl w:val="0"/>
          <w:numId w:val="2"/>
        </w:numPr>
      </w:pPr>
      <w:r>
        <w:t xml:space="preserve">Any other technical or commercial information that the Assignor has treated as confidential in connection with the HackTrader product.</w:t>
      </w:r>
    </w:p>
    <w:p>
      <w:pPr>
        <w:pStyle w:val="Heading4"/>
      </w:pPr>
      <w:r>
        <w:t xml:space="preserve">G. Goodwill</w:t>
      </w:r>
    </w:p>
    <w:p>
      <w:pPr>
        <w:spacing w:after="80" w:before="80"/>
      </w:pPr>
      <w:r>
        <w:t xml:space="preserve">All goodwill associated with the HackTrader product, the Penguins LLC brand, and the Assignor's use of any of the foregoing in commerce.</w:t>
      </w:r>
    </w:p>
    <w:p>
      <w:pPr>
        <w:pBdr>
          <w:bottom w:val="single" w:color="888888" w:sz="6" w:space="1"/>
        </w:pBdr>
        <w:spacing w:after="240" w:before="240"/>
      </w:pPr>
    </w:p>
    <w:p>
      <w:pPr>
        <w:pStyle w:val="Heading2"/>
      </w:pPr>
      <w:r>
        <w:t xml:space="preserve">NOTES FOR THE INVENTOR</w:t>
      </w:r>
    </w:p>
    <w:p>
      <w:pPr>
        <w:pStyle w:val="Heading3"/>
      </w:pPr>
      <w:r>
        <w:t xml:space="preserve">Before signing</w:t>
      </w:r>
    </w:p>
    <w:p>
      <w:pPr>
        <w:pStyle w:val="ListParagraph"/>
        <w:numPr>
          <w:ilvl w:val="0"/>
          <w:numId w:val="3"/>
        </w:numPr>
      </w:pPr>
      <w:r>
        <w:rPr>
          <w:b/>
          <w:bCs/>
        </w:rPr>
        <w:t xml:space="preserve">Have a California business attorney review.</w:t>
      </w:r>
      <w:r>
        <w:t xml:space="preserve"> The form above is standard but California has specific rules about LLC operations, intra-company transactions, and consideration that an attorney should review. Expect $300–800 for a one-time consultation and document review.</w:t>
      </w:r>
    </w:p>
    <w:p>
      <w:pPr>
        <w:pStyle w:val="ListParagraph"/>
        <w:numPr>
          <w:ilvl w:val="0"/>
          <w:numId w:val="3"/>
        </w:numPr>
      </w:pPr>
      <w:r>
        <w:rPr>
          <w:b/>
          <w:bCs/>
        </w:rPr>
        <w:t xml:space="preserve">Confirm consideration.</w:t>
      </w:r>
      <w:r>
        <w:t xml:space="preserve"> If your LLC was formed </w:t>
      </w:r>
      <w:r>
        <w:rPr>
          <w:i/>
          <w:iCs/>
        </w:rPr>
        <w:t xml:space="preserve">before</w:t>
      </w:r>
      <w:r>
        <w:t xml:space="preserve"> you contributed the IP, the membership interest you received at formation is the consideration. If the LLC was formed first and the IP is being contributed later, you may want to formally amend the operating agreement to acknowledge the IP contribution.</w:t>
      </w:r>
    </w:p>
    <w:p>
      <w:pPr>
        <w:pStyle w:val="ListParagraph"/>
        <w:numPr>
          <w:ilvl w:val="0"/>
          <w:numId w:val="3"/>
        </w:numPr>
      </w:pPr>
      <w:r>
        <w:rPr>
          <w:b/>
          <w:bCs/>
        </w:rPr>
        <w:t xml:space="preserve">Coordinate with the operating agreement.</w:t>
      </w:r>
      <w:r>
        <w:t xml:space="preserve"> Your Penguins LLC operating agreement should describe how the LLC was capitalized. The IP assignment is one form of capital contribution. Make sure the language is consistent.</w:t>
      </w:r>
    </w:p>
    <w:p>
      <w:pPr>
        <w:pStyle w:val="ListParagraph"/>
        <w:numPr>
          <w:ilvl w:val="0"/>
          <w:numId w:val="3"/>
        </w:numPr>
      </w:pPr>
      <w:r>
        <w:rPr>
          <w:b/>
          <w:bCs/>
        </w:rPr>
        <w:t xml:space="preserve">Update Schedule A as needed.</w:t>
      </w:r>
      <w:r>
        <w:t xml:space="preserve"> Schedule A above is a snapshot of the IP as of the date of the assignment. You may need to add specific items (e.g., specific source files you want explicitly enumerated) or remove items (e.g., if you want to retain personal IP that is not part of HackTrader).</w:t>
      </w:r>
    </w:p>
    <w:p>
      <w:pPr>
        <w:pStyle w:val="Heading3"/>
      </w:pPr>
      <w:r>
        <w:t xml:space="preserve">After signing</w:t>
      </w:r>
    </w:p>
    <w:p>
      <w:pPr>
        <w:pStyle w:val="ListParagraph"/>
        <w:numPr>
          <w:ilvl w:val="0"/>
          <w:numId w:val="3"/>
        </w:numPr>
      </w:pPr>
      <w:r>
        <w:rPr>
          <w:b/>
          <w:bCs/>
        </w:rPr>
        <w:t xml:space="preserve">Record with the USPTO</w:t>
      </w:r>
      <w:r>
        <w:t xml:space="preserve"> if you've already filed the provisional patent. The USPTO Assignment Recordation cover sheet (Form PTO-1595) plus the executed agreement is recorded for ~$40. This puts the world on notice of the assignment and is required for the assignee to prosecute the patent.</w:t>
      </w:r>
    </w:p>
    <w:p>
      <w:pPr>
        <w:pStyle w:val="ListParagraph"/>
        <w:numPr>
          <w:ilvl w:val="0"/>
          <w:numId w:val="3"/>
        </w:numPr>
      </w:pPr>
      <w:r>
        <w:rPr>
          <w:b/>
          <w:bCs/>
        </w:rPr>
        <w:t xml:space="preserve">Record with the U.S. Copyright Office</w:t>
      </w:r>
      <w:r>
        <w:t xml:space="preserve"> for assigned copyrights. Use the Document Cover Sheet (Form DCS) plus the executed agreement. Recording fee is ~$125. This is optional but recommended for major copyright works.</w:t>
      </w:r>
    </w:p>
    <w:p>
      <w:pPr>
        <w:pStyle w:val="ListParagraph"/>
        <w:numPr>
          <w:ilvl w:val="0"/>
          <w:numId w:val="3"/>
        </w:numPr>
      </w:pPr>
      <w:r>
        <w:rPr>
          <w:b/>
          <w:bCs/>
        </w:rPr>
        <w:t xml:space="preserve">Update domain registrations.</w:t>
      </w:r>
      <w:r>
        <w:t xml:space="preserve"> If </w:t>
      </w:r>
      <w:r>
        <w:rPr>
          <w:rFonts w:ascii="Courier New" w:cs="Courier New" w:eastAsia="Courier New" w:hAnsi="Courier New"/>
          <w:color w:val="7A4F0A"/>
          <w:sz w:val="20"/>
          <w:szCs w:val="20"/>
        </w:rPr>
        <w:t xml:space="preserve">hacktrader.com</w:t>
      </w:r>
      <w:r>
        <w:t xml:space="preserve"> and </w:t>
      </w:r>
      <w:r>
        <w:rPr>
          <w:rFonts w:ascii="Courier New" w:cs="Courier New" w:eastAsia="Courier New" w:hAnsi="Courier New"/>
          <w:color w:val="7A4F0A"/>
          <w:sz w:val="20"/>
          <w:szCs w:val="20"/>
        </w:rPr>
        <w:t xml:space="preserve">pngs.us</w:t>
      </w:r>
      <w:r>
        <w:t xml:space="preserve"> are registered to you personally, update the registrant to Penguins LLC at your registrar.</w:t>
      </w:r>
    </w:p>
    <w:p>
      <w:pPr>
        <w:pStyle w:val="ListParagraph"/>
        <w:numPr>
          <w:ilvl w:val="0"/>
          <w:numId w:val="3"/>
        </w:numPr>
      </w:pPr>
      <w:r>
        <w:rPr>
          <w:b/>
          <w:bCs/>
        </w:rPr>
        <w:t xml:space="preserve">Update licenses, contracts, and accounts.</w:t>
      </w:r>
      <w:r>
        <w:t xml:space="preserve"> Anywhere the IP is referenced (Stripe Customer Portal, Massive API agreement, GitHub repository ownership, hosting accounts), update to reflect Penguins LLC ownership where appropriate.</w:t>
      </w:r>
    </w:p>
    <w:p>
      <w:pPr>
        <w:pStyle w:val="ListParagraph"/>
        <w:numPr>
          <w:ilvl w:val="0"/>
          <w:numId w:val="3"/>
        </w:numPr>
      </w:pPr>
      <w:r>
        <w:rPr>
          <w:b/>
          <w:bCs/>
        </w:rPr>
        <w:t xml:space="preserve">Maintain a copy.</w:t>
      </w:r>
      <w:r>
        <w:t xml:space="preserve"> Keep a fully-executed PDF in the company records along with a clean unsigned template for future amendments.</w:t>
      </w:r>
    </w:p>
    <w:p>
      <w:pPr>
        <w:pStyle w:val="Heading3"/>
      </w:pPr>
      <w:r>
        <w:t xml:space="preserve">Tax considerations</w:t>
      </w:r>
    </w:p>
    <w:p>
      <w:pPr>
        <w:spacing w:after="80" w:before="80"/>
      </w:pPr>
      <w:r>
        <w:t xml:space="preserve">Transferring IP from a sole proprietor to an LLC can have tax implications. For a single-member LLC taxed as a disregarded entity (the default for solo founders), the transfer is typically a non-event for income-tax purposes. For a multi-member LLC or one taxed as a corporation, consult a tax advisor. </w:t>
      </w:r>
      <w:r>
        <w:rPr>
          <w:b/>
          <w:bCs/>
        </w:rPr>
        <w:t xml:space="preserve">Do not file this assignment without confirming the tax treatment with your CPA.</w:t>
      </w:r>
    </w:p>
    <w:p>
      <w:pPr>
        <w:pStyle w:val="Heading3"/>
      </w:pPr>
      <w:r>
        <w:t xml:space="preserve">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c>
          <w:tcPr>
            <w:tcW w:type="dxa" w:w="468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Attorney review (recommended)</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$300–800</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USPTO Assignment Recordation</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~$40</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 Copyright Office Recordation (optional)</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~$125</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Notarization (if required by state)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~$15</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Total</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$340–980</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Intellectual Property Assignment Agreement</w:t>
    </w:r>
    <w:r>
      <w:rPr>
        <w:color w:val="888888"/>
        <w:sz w:val="18"/>
        <w:szCs w:val="18"/>
      </w:rPr>
      <w:t xml:space="preserv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A4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2A44"/>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2A44"/>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sz w:val="22"/>
      <w:szCs w:val="22"/>
    </w:rPr>
  </w:style>
  <w:style w:type="paragraph" w:styleId="Hyperlink">
    <w:name w:val="Hyperlink"/>
    <w:basedOn w:val="Normal"/>
    <w:rPr>
      <w:color w:val="1F4E9E"/>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Property Assignment Agreement</dc:title>
  <dc:creator>Penguins LLC</dc:creator>
  <cp:lastModifiedBy>Un-named</cp:lastModifiedBy>
  <cp:revision>1</cp:revision>
  <dcterms:created xsi:type="dcterms:W3CDTF">2026-05-09T03:32:05.616Z</dcterms:created>
  <dcterms:modified xsi:type="dcterms:W3CDTF">2026-05-09T03:32:05.616Z</dcterms:modified>
</cp:coreProperties>
</file>

<file path=docProps/custom.xml><?xml version="1.0" encoding="utf-8"?>
<Properties xmlns="http://schemas.openxmlformats.org/officeDocument/2006/custom-properties" xmlns:vt="http://schemas.openxmlformats.org/officeDocument/2006/docPropsVTypes"/>
</file>