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Trademark Application Worksheet — "HackTrader"</w:t>
      </w:r>
    </w:p>
    <w:p>
      <w:pPr>
        <w:spacing w:after="80" w:before="80"/>
      </w:pPr>
      <w:r>
        <w:t xml:space="preserve">A worksheet for filing a U.S. federal trademark on the mark "HackTrader" via the USPTO's Trademark Electronic Application System (TEAS) at </w:t>
      </w:r>
      <w:hyperlink w:history="1" r:id="rIdtbn-c9d0qi0v_9whlxt-e">
        <w:r>
          <w:rPr>
            <w:rStyle w:val="Hyperlink"/>
          </w:rPr>
          <w:t xml:space="preserve">uspto.gov</w:t>
        </w:r>
      </w:hyperlink>
      <w:r>
        <w:t xml:space="preserve">.</w:t>
      </w:r>
    </w:p>
    <w:p>
      <w:pPr>
        <w:spacing w:after="80" w:before="80"/>
      </w:pPr>
      <w:r>
        <w:rPr>
          <w:b/>
          <w:bCs/>
        </w:rPr>
        <w:t xml:space="preserve">Status:</w:t>
      </w:r>
      <w:r>
        <w:t xml:space="preserve"> Draft for filing. Have a registered trademark practitioner review before submission. Trademark mistakes at filing time can be expensive to fix later.</w:t>
      </w:r>
    </w:p>
    <w:p>
      <w:pPr>
        <w:pBdr>
          <w:bottom w:val="single" w:color="888888" w:sz="6" w:space="1"/>
        </w:pBdr>
        <w:spacing w:after="240" w:before="240"/>
      </w:pPr>
    </w:p>
    <w:p>
      <w:pPr>
        <w:pStyle w:val="Heading2"/>
      </w:pPr>
      <w:r>
        <w:t xml:space="preserve">Why register a trademark</w:t>
      </w:r>
    </w:p>
    <w:p>
      <w:pPr>
        <w:spacing w:after="80" w:before="80"/>
      </w:pPr>
      <w:r>
        <w:t xml:space="preserve">A federally registered trademark gives you:</w:t>
      </w:r>
    </w:p>
    <w:p>
      <w:pPr>
        <w:pStyle w:val="ListParagraph"/>
        <w:numPr>
          <w:ilvl w:val="0"/>
          <w:numId w:val="2"/>
        </w:numPr>
      </w:pPr>
      <w:r>
        <w:rPr>
          <w:b/>
          <w:bCs/>
        </w:rPr>
        <w:t xml:space="preserve">Nationwide priority.</w:t>
      </w:r>
      <w:r>
        <w:t xml:space="preserve"> Common-law trademark rights extend only to the geographic regions where you actually use the mark in commerce. Federal registration grants nationwide priority back to the filing date, even in regions you haven't yet operated in.</w:t>
      </w:r>
    </w:p>
    <w:p>
      <w:pPr>
        <w:pStyle w:val="ListParagraph"/>
        <w:numPr>
          <w:ilvl w:val="0"/>
          <w:numId w:val="2"/>
        </w:numPr>
      </w:pPr>
      <w:r>
        <w:rPr>
          <w:b/>
          <w:bCs/>
        </w:rPr>
        <w:t xml:space="preserve">Right to use ®.</w:t>
      </w:r>
      <w:r>
        <w:t xml:space="preserve"> The federal registration symbol can be displayed only on registered marks. The unregistered ™ symbol can be used immediately and provides some common-law protection but no federal rights.</w:t>
      </w:r>
    </w:p>
    <w:p>
      <w:pPr>
        <w:pStyle w:val="ListParagraph"/>
        <w:numPr>
          <w:ilvl w:val="0"/>
          <w:numId w:val="2"/>
        </w:numPr>
      </w:pPr>
      <w:r>
        <w:rPr>
          <w:b/>
          <w:bCs/>
        </w:rPr>
        <w:t xml:space="preserve">Constructive notice.</w:t>
      </w:r>
      <w:r>
        <w:t xml:space="preserve"> Anyone adopting a confusingly similar mark after your registration is presumed to know about your rights, defeating "innocent infringement" defenses.</w:t>
      </w:r>
    </w:p>
    <w:p>
      <w:pPr>
        <w:pStyle w:val="ListParagraph"/>
        <w:numPr>
          <w:ilvl w:val="0"/>
          <w:numId w:val="2"/>
        </w:numPr>
      </w:pPr>
      <w:r>
        <w:rPr>
          <w:b/>
          <w:bCs/>
        </w:rPr>
        <w:t xml:space="preserve">Customs protection.</w:t>
      </w:r>
      <w:r>
        <w:t xml:space="preserve"> Registered marks can be recorded with U.S. Customs to block import of counterfeit goods bearing the mark.</w:t>
      </w:r>
    </w:p>
    <w:p>
      <w:pPr>
        <w:pStyle w:val="ListParagraph"/>
        <w:numPr>
          <w:ilvl w:val="0"/>
          <w:numId w:val="2"/>
        </w:numPr>
      </w:pPr>
      <w:r>
        <w:rPr>
          <w:b/>
          <w:bCs/>
        </w:rPr>
        <w:t xml:space="preserve">Basis for international filing.</w:t>
      </w:r>
      <w:r>
        <w:t xml:space="preserve"> The U.S. registration is required (or strongly recommended) before pursuing trademarks in other countries via the Madrid Protocol.</w:t>
      </w:r>
    </w:p>
    <w:p>
      <w:pPr>
        <w:pStyle w:val="ListParagraph"/>
        <w:numPr>
          <w:ilvl w:val="0"/>
          <w:numId w:val="2"/>
        </w:numPr>
      </w:pPr>
      <w:r>
        <w:rPr>
          <w:b/>
          <w:bCs/>
        </w:rPr>
        <w:t xml:space="preserve">Statutory damages and attorneys' fees</w:t>
      </w:r>
      <w:r>
        <w:t xml:space="preserve"> in trademark counterfeiting cases.</w:t>
      </w:r>
    </w:p>
    <w:p>
      <w:pPr>
        <w:spacing w:after="80" w:before="80"/>
      </w:pPr>
      <w:r>
        <w:t xml:space="preserve">Federal trademark registration costs $250–$350 in USPTO filing fees per class of goods/services and takes approximately 8–12 months to issue.</w:t>
      </w:r>
    </w:p>
    <w:p>
      <w:pPr>
        <w:pBdr>
          <w:bottom w:val="single" w:color="888888" w:sz="6" w:space="1"/>
        </w:pBdr>
        <w:spacing w:after="240" w:before="240"/>
      </w:pPr>
    </w:p>
    <w:p>
      <w:pPr>
        <w:pStyle w:val="Heading2"/>
      </w:pPr>
      <w:r>
        <w:t xml:space="preserve">What to file</w:t>
      </w:r>
    </w:p>
    <w:p>
      <w:pPr>
        <w:pStyle w:val="Heading3"/>
      </w:pPr>
      <w:r>
        <w:t xml:space="preserve">The Mark</w:t>
      </w:r>
    </w:p>
    <w:p>
      <w:pPr>
        <w:spacing w:after="80" w:before="80"/>
      </w:pPr>
      <w:r>
        <w:t xml:space="preserve">The applied-for mark is the word: </w:t>
      </w:r>
      <w:r>
        <w:rPr>
          <w:b/>
          <w:bCs/>
        </w:rPr>
        <w:t xml:space="preserve">HackTrader</w:t>
      </w:r>
    </w:p>
    <w:p>
      <w:pPr>
        <w:spacing w:after="80" w:before="80"/>
      </w:pPr>
      <w:r>
        <w:t xml:space="preserve">You have two options for </w:t>
      </w:r>
      <w:r>
        <w:rPr>
          <w:i/>
          <w:iCs/>
        </w:rPr>
        <w:t xml:space="preserve">how</w:t>
      </w:r>
      <w:r>
        <w:t xml:space="preserve"> the mark is filed:</w:t>
      </w:r>
    </w:p>
    <w:p>
      <w:pPr>
        <w:spacing w:after="80" w:before="80"/>
      </w:pPr>
      <w:r>
        <w:rPr>
          <w:b/>
          <w:bCs/>
        </w:rPr>
        <w:t xml:space="preserve">(a) Standard character mark (recommended).</w:t>
      </w:r>
      <w:r>
        <w:t xml:space="preserve"> Covers the word "HackTrader" in any font, size, color, or stylization. This is the broadest protection and the recommended choice for a wordmark. </w:t>
      </w:r>
      <w:r>
        <w:rPr>
          <w:i/>
          <w:iCs/>
        </w:rPr>
        <w:t xml:space="preserve">Choose this option.</w:t>
      </w:r>
    </w:p>
    <w:p>
      <w:pPr>
        <w:spacing w:after="80" w:before="80"/>
      </w:pPr>
      <w:r>
        <w:rPr>
          <w:b/>
          <w:bCs/>
        </w:rPr>
        <w:t xml:space="preserve">(b) Special form / stylized mark.</w:t>
      </w:r>
      <w:r>
        <w:t xml:space="preserve"> Covers a specific design or stylization (e.g., a logo). If you have a distinctive logo featuring the penguin (🐧) plus the wordmark, you may file </w:t>
      </w:r>
      <w:r>
        <w:rPr>
          <w:i/>
          <w:iCs/>
        </w:rPr>
        <w:t xml:space="preserve">separately</w:t>
      </w:r>
      <w:r>
        <w:t xml:space="preserve"> as a special-form mark in addition to the standard character mark. Two filings, two fees.</w:t>
      </w:r>
    </w:p>
    <w:p>
      <w:pPr>
        <w:spacing w:after="80" w:before="80"/>
      </w:pPr>
      <w:r>
        <w:rPr>
          <w:b/>
          <w:bCs/>
        </w:rPr>
        <w:t xml:space="preserve">Recommended: file the standard character mark first ($350).</w:t>
      </w:r>
      <w:r>
        <w:t xml:space="preserve"> Add a stylized/logo mark filing later if budget allows.</w:t>
      </w:r>
    </w:p>
    <w:p>
      <w:pPr>
        <w:pStyle w:val="Heading3"/>
      </w:pPr>
      <w:r>
        <w:t xml:space="preserve">Goods and Services Description</w:t>
      </w:r>
    </w:p>
    <w:p>
      <w:pPr>
        <w:spacing w:after="80" w:before="80"/>
      </w:pPr>
      <w:r>
        <w:t xml:space="preserve">Trademarks are registered in one or more </w:t>
      </w:r>
      <w:r>
        <w:rPr>
          <w:i/>
          <w:iCs/>
        </w:rPr>
        <w:t xml:space="preserve">International Classes</w:t>
      </w:r>
      <w:r>
        <w:t xml:space="preserve"> (Nice Classification) describing the goods or services the mark is used in connection with. HackTrader's relevant classes:</w:t>
      </w:r>
    </w:p>
    <w:p>
      <w:pPr>
        <w:spacing w:after="80" w:before="80"/>
      </w:pPr>
      <w:r>
        <w:rPr>
          <w:b/>
          <w:bCs/>
        </w:rPr>
        <w:t xml:space="preserve">Class 9 — Downloadable software / SaaS-related</w:t>
      </w:r>
      <w:r>
        <w:t xml:space="preserve"> </w:t>
      </w:r>
      <w:r>
        <w:rPr>
          <w:i/>
          <w:iCs/>
        </w:rPr>
        <w:t xml:space="preserve">(if applicable; debated for pure SaaS)</w:t>
      </w:r>
    </w:p>
    <w:p>
      <w:pPr>
        <w:spacing w:after="80" w:before="80"/>
      </w:pPr>
      <w:r>
        <w:t xml:space="preserve">Description (draft):</w:t>
      </w:r>
    </w:p>
    <w:p>
      <w:pPr>
        <w:pBdr>
          <w:left w:val="single" w:color="BBBBBB" w:sz="18" w:space="12"/>
        </w:pBdr>
        <w:spacing w:after="80" w:before="80"/>
        <w:ind w:left="720"/>
      </w:pPr>
      <w:r>
        <w:t xml:space="preserve">Downloadable computer software for visualizing financial market structure, including correlation between financial instruments, support and resistance levels, and volume context, for use by active traders.</w:t>
      </w:r>
    </w:p>
    <w:p>
      <w:pPr>
        <w:spacing w:after="80" w:before="80"/>
      </w:pPr>
      <w:r>
        <w:rPr>
          <w:b/>
          <w:bCs/>
        </w:rPr>
        <w:t xml:space="preserve">Class 42 — Software as a Service (SaaS) / Computer Software Services</w:t>
      </w:r>
      <w:r>
        <w:t xml:space="preserve"> </w:t>
      </w:r>
      <w:r>
        <w:rPr>
          <w:i/>
          <w:iCs/>
        </w:rPr>
        <w:t xml:space="preserve">(primary class for HackTrader)</w:t>
      </w:r>
    </w:p>
    <w:p>
      <w:pPr>
        <w:spacing w:after="80" w:before="80"/>
      </w:pPr>
      <w:r>
        <w:t xml:space="preserve">Description (draft):</w:t>
      </w:r>
    </w:p>
    <w:p>
      <w:pPr>
        <w:pBdr>
          <w:left w:val="single" w:color="BBBBBB" w:sz="18" w:space="12"/>
        </w:pBdr>
        <w:spacing w:after="80" w:before="80"/>
        <w:ind w:left="720"/>
      </w:pPr>
      <w:r>
        <w:t xml:space="preserve">Providing online non-downloadable software for visualizing financial market structure, including correlation between financial instruments, support and resistance levels, channel geometry, and volume context, for use by active traders; software as a service (SAAS) services featuring software for displaying live correlation between a focus financial instrument and peer financial instruments in a graphical user interface.</w:t>
      </w:r>
    </w:p>
    <w:p>
      <w:pPr>
        <w:spacing w:after="80" w:before="80"/>
      </w:pPr>
      <w:r>
        <w:rPr>
          <w:b/>
          <w:bCs/>
        </w:rPr>
        <w:t xml:space="preserve">Class 36 — Financial services</w:t>
      </w:r>
      <w:r>
        <w:t xml:space="preserve"> </w:t>
      </w:r>
      <w:r>
        <w:rPr>
          <w:i/>
          <w:iCs/>
        </w:rPr>
        <w:t xml:space="preserve">(possibly applicable; check with attorney)</w:t>
      </w:r>
    </w:p>
    <w:p>
      <w:pPr>
        <w:spacing w:after="80" w:before="80"/>
      </w:pPr>
      <w:r>
        <w:t xml:space="preserve">Description (draft):</w:t>
      </w:r>
    </w:p>
    <w:p>
      <w:pPr>
        <w:pBdr>
          <w:left w:val="single" w:color="BBBBBB" w:sz="18" w:space="12"/>
        </w:pBdr>
        <w:spacing w:after="80" w:before="80"/>
        <w:ind w:left="720"/>
      </w:pPr>
      <w:r>
        <w:t xml:space="preserve">Providing online tools for analyzing publicly available financial market data; providing online resources for traders to visualize the structural disposition of financial instruments and their correlated peer instruments.</w:t>
      </w:r>
    </w:p>
    <w:p>
      <w:pPr>
        <w:spacing w:after="80" w:before="80"/>
      </w:pPr>
      <w:r>
        <w:rPr>
          <w:b/>
          <w:bCs/>
        </w:rPr>
        <w:t xml:space="preserve">Recommendation: file in Class 42 only at $350.</w:t>
      </w:r>
      <w:r>
        <w:t xml:space="preserve"> Class 9 is debated for pure SaaS; Class 36 may invite extra scrutiny because financial services are heavily regulated. The attorney can advise whether to add classes after evaluating your specific use.</w:t>
      </w:r>
    </w:p>
    <w:p>
      <w:pPr>
        <w:pStyle w:val="Heading3"/>
      </w:pPr>
      <w:r>
        <w:t xml:space="preserve">Filing basis</w:t>
      </w:r>
    </w:p>
    <w:p>
      <w:pPr>
        <w:spacing w:after="80" w:before="80"/>
      </w:pPr>
      <w:r>
        <w:t xml:space="preserve">Trademarks can be filed under one of two bases:</w:t>
      </w:r>
    </w:p>
    <w:p>
      <w:pPr>
        <w:spacing w:after="80" w:before="80"/>
      </w:pPr>
      <w:r>
        <w:rPr>
          <w:b/>
          <w:bCs/>
        </w:rPr>
        <w:t xml:space="preserve">(a) Use in Commerce (Section 1(a))</w:t>
      </w:r>
      <w:r>
        <w:t xml:space="preserve"> — you are already using the mark in interstate commerce. Cost: $350 per class. </w:t>
      </w:r>
      <w:r>
        <w:rPr>
          <w:b/>
          <w:bCs/>
        </w:rPr>
        <w:t xml:space="preserve">You qualify.</w:t>
      </w:r>
      <w:r>
        <w:t xml:space="preserve"> You have </w:t>
      </w:r>
      <w:r>
        <w:rPr>
          <w:rFonts w:ascii="Courier New" w:cs="Courier New" w:eastAsia="Courier New" w:hAnsi="Courier New"/>
          <w:color w:val="7A4F0A"/>
          <w:sz w:val="20"/>
          <w:szCs w:val="20"/>
        </w:rPr>
        <w:t xml:space="preserve">dev.hacktrader.com</w:t>
      </w:r>
      <w:r>
        <w:t xml:space="preserve"> live, accepting users from multiple states, and have processed transactions (even if test-mode).</w:t>
      </w:r>
    </w:p>
    <w:p>
      <w:pPr>
        <w:spacing w:after="80" w:before="80"/>
      </w:pPr>
      <w:r>
        <w:rPr>
          <w:b/>
          <w:bCs/>
        </w:rPr>
        <w:t xml:space="preserve">(b) Intent to Use (Section 1(b))</w:t>
      </w:r>
      <w:r>
        <w:t xml:space="preserve"> — you have a bona fide intent to use the mark but are not yet using it. Cost: $350 per class plus an additional $100/class fee at the time of actual use. </w:t>
      </w:r>
      <w:r>
        <w:rPr>
          <w:i/>
          <w:iCs/>
        </w:rPr>
        <w:t xml:space="preserve">This is for marks not yet in commerce.</w:t>
      </w:r>
    </w:p>
    <w:p>
      <w:pPr>
        <w:spacing w:after="80" w:before="80"/>
      </w:pPr>
      <w:r>
        <w:rPr>
          <w:b/>
          <w:bCs/>
        </w:rPr>
        <w:t xml:space="preserve">Choose Section 1(a) (Use in Commerce).</w:t>
      </w:r>
      <w:r>
        <w:t xml:space="preserve"> It's cheaper and gives you priority back to the actual first use date, not just the filing date.</w:t>
      </w:r>
    </w:p>
    <w:p>
      <w:pPr>
        <w:pStyle w:val="Heading3"/>
      </w:pPr>
      <w:r>
        <w:t xml:space="preserve">Date of First Use</w:t>
      </w:r>
    </w:p>
    <w:p>
      <w:pPr>
        <w:spacing w:after="80" w:before="80"/>
      </w:pPr>
      <w:r>
        <w:t xml:space="preserve">Two dates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Date of First Use Anywhere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(date you first used the name "HackTrader" anywhere — could be when you registered the domain or first showed it to anyone)</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Date of First Use in Commerce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(date you first used the name in interstate commerce — typically when </w:t>
            </w:r>
            <w:r>
              <w:rPr>
                <w:rFonts w:ascii="Courier New" w:cs="Courier New" w:eastAsia="Courier New" w:hAnsi="Courier New"/>
                <w:color w:val="7A4F0A"/>
                <w:sz w:val="20"/>
                <w:szCs w:val="20"/>
              </w:rPr>
              <w:t xml:space="preserve">dev.hacktrader.com</w:t>
            </w:r>
            <w:r>
              <w:t xml:space="preserve"> first served pages to users in multiple states)</w:t>
            </w:r>
          </w:p>
        </w:tc>
      </w:tr>
    </w:tbl>
    <w:p>
      <w:pPr>
        <w:spacing w:after="80" w:before="80"/>
      </w:pPr>
      <w:r>
        <w:t xml:space="preserve">These dates must be accurate. If unsure, use the registration date of </w:t>
      </w:r>
      <w:r>
        <w:rPr>
          <w:rFonts w:ascii="Courier New" w:cs="Courier New" w:eastAsia="Courier New" w:hAnsi="Courier New"/>
          <w:color w:val="7A4F0A"/>
          <w:sz w:val="20"/>
          <w:szCs w:val="20"/>
        </w:rPr>
        <w:t xml:space="preserve">hacktrader.com</w:t>
      </w:r>
      <w:r>
        <w:t xml:space="preserve"> (the domain).</w:t>
      </w:r>
    </w:p>
    <w:p>
      <w:pPr>
        <w:pStyle w:val="Heading3"/>
      </w:pPr>
      <w:r>
        <w:t xml:space="preserve">Specimen</w:t>
      </w:r>
    </w:p>
    <w:p>
      <w:pPr>
        <w:spacing w:after="80" w:before="80"/>
      </w:pPr>
      <w:r>
        <w:t xml:space="preserve">You must submit a "specimen" — a real-world example of the mark in use. For SaaS, the standard specimen is:</w:t>
      </w:r>
    </w:p>
    <w:p>
      <w:pPr>
        <w:pStyle w:val="ListParagraph"/>
        <w:numPr>
          <w:ilvl w:val="0"/>
          <w:numId w:val="3"/>
        </w:numPr>
      </w:pPr>
      <w:r>
        <w:t xml:space="preserve">A screenshot of the website prominently displaying the mark (e.g., your </w:t>
      </w:r>
      <w:r>
        <w:rPr>
          <w:rFonts w:ascii="Courier New" w:cs="Courier New" w:eastAsia="Courier New" w:hAnsi="Courier New"/>
          <w:color w:val="7A4F0A"/>
          <w:sz w:val="20"/>
          <w:szCs w:val="20"/>
        </w:rPr>
        <w:t xml:space="preserve">dev.hacktrader.com</w:t>
      </w:r>
      <w:r>
        <w:t xml:space="preserve"> homepage with the "HackTrader" word visible in the hero); OR</w:t>
      </w:r>
    </w:p>
    <w:p>
      <w:pPr>
        <w:pStyle w:val="ListParagraph"/>
        <w:numPr>
          <w:ilvl w:val="0"/>
          <w:numId w:val="3"/>
        </w:numPr>
      </w:pPr>
      <w:r>
        <w:t xml:space="preserve">A screenshot of the dashboard with the mark in the topbar; OR</w:t>
      </w:r>
    </w:p>
    <w:p>
      <w:pPr>
        <w:pStyle w:val="ListParagraph"/>
        <w:numPr>
          <w:ilvl w:val="0"/>
          <w:numId w:val="3"/>
        </w:numPr>
      </w:pPr>
      <w:r>
        <w:t xml:space="preserve">A screenshot of a checkout page showing the mark and the service offered.</w:t>
      </w:r>
    </w:p>
    <w:p>
      <w:pPr>
        <w:spacing w:after="80" w:before="80"/>
      </w:pPr>
      <w:r>
        <w:rPr>
          <w:b/>
          <w:bCs/>
        </w:rPr>
        <w:t xml:space="preserve">Recommendation: submit the homepage screenshot.</w:t>
      </w:r>
      <w:r>
        <w:t xml:space="preserve"> It clearly shows the mark in connection with the SaaS service. The specimen must show actual use, not mockups.</w:t>
      </w:r>
    </w:p>
    <w:p>
      <w:pPr>
        <w:pBdr>
          <w:bottom w:val="single" w:color="888888" w:sz="6" w:space="1"/>
        </w:pBdr>
        <w:spacing w:after="240" w:before="240"/>
      </w:pPr>
    </w:p>
    <w:p>
      <w:pPr>
        <w:pStyle w:val="Heading2"/>
      </w:pPr>
      <w:r>
        <w:t xml:space="preserve">TEAS application worksheet</w:t>
      </w:r>
    </w:p>
    <w:p>
      <w:pPr>
        <w:spacing w:after="80" w:before="80"/>
      </w:pPr>
      <w:r>
        <w:t xml:space="preserve">Filed at </w:t>
      </w:r>
      <w:hyperlink w:history="1" r:id="rId-wxgfibmstsp6scsdrfdc">
        <w:r>
          <w:rPr>
            <w:rStyle w:val="Hyperlink"/>
          </w:rPr>
          <w:t xml:space="preserve">teas.uspto.gov</w:t>
        </w:r>
      </w:hyperlink>
      <w:r>
        <w:t xml:space="preserve">, TEAS Standard form ($350/class) or TEAS Plus form ($250/class with stricter requirements).</w:t>
      </w:r>
    </w:p>
    <w:p>
      <w:pPr>
        <w:spacing w:after="80" w:before="80"/>
      </w:pPr>
      <w:r>
        <w:rPr>
          <w:b/>
          <w:bCs/>
        </w:rPr>
        <w:t xml:space="preserve">Recommendation: TEAS Plus.</w:t>
      </w:r>
      <w:r>
        <w:t xml:space="preserve"> $100 cheaper per class, but requires you to (a) use exact USPTO ID Manual descriptions for goods/services, and (b) communicate with USPTO via email only. Both restrictions are easy to comply with for a software trademark.</w:t>
      </w:r>
    </w:p>
    <w:p>
      <w:pPr>
        <w:pStyle w:val="Heading3"/>
      </w:pPr>
      <w:r>
        <w:t xml:space="preserve">Section 1 — Applicant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Applicant name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7A4F0A"/>
                <w:sz w:val="20"/>
                <w:szCs w:val="20"/>
              </w:rPr>
              <w:t xml:space="preserve">Penguins LLC</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Entity type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Limited Liability Company</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State of incorporation</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California</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Mailing address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7A4F0A"/>
                <w:sz w:val="20"/>
                <w:szCs w:val="20"/>
              </w:rPr>
              <w:t xml:space="preserve">999 Corporate Drive, Ste 100, Ladera Ranch, CA 92694</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Email address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7A4F0A"/>
                <w:sz w:val="20"/>
                <w:szCs w:val="20"/>
              </w:rPr>
              <w:t xml:space="preserve">info@pngs.us</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Phone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7A4F0A"/>
                <w:sz w:val="20"/>
                <w:szCs w:val="20"/>
              </w:rPr>
              <w:t xml:space="preserve">(949) 335-9688</w:t>
            </w:r>
          </w:p>
        </w:tc>
      </w:tr>
    </w:tbl>
    <w:p>
      <w:pPr>
        <w:spacing w:after="80" w:before="80"/>
      </w:pPr>
      <w:r>
        <w:t xml:space="preserve">If Penguins LLC has not yet executed the IP Assignment Agreement and the goodwill associated with the mark currently resides with you personally, file the trademark in your name (Jayson Hawley, individual) and assign it to Penguins LLC after issuance via a separate trademark assignment recorded with the USPTO. </w:t>
      </w:r>
      <w:r>
        <w:rPr>
          <w:i/>
          <w:iCs/>
        </w:rPr>
        <w:t xml:space="preserve">However</w:t>
      </w:r>
      <w:r>
        <w:t xml:space="preserve">, if Penguins LLC is the operating entity already using the mark in commerce, file in the LLC's name to avoid a later assignment.</w:t>
      </w:r>
    </w:p>
    <w:p>
      <w:pPr>
        <w:spacing w:after="80" w:before="80"/>
      </w:pPr>
      <w:r>
        <w:rPr>
          <w:b/>
          <w:bCs/>
        </w:rPr>
        <w:t xml:space="preserve">Recommendation: file in Penguins LLC's name</w:t>
      </w:r>
      <w:r>
        <w:t xml:space="preserve"> assuming the LLC is the entity behind </w:t>
      </w:r>
      <w:r>
        <w:rPr>
          <w:rFonts w:ascii="Courier New" w:cs="Courier New" w:eastAsia="Courier New" w:hAnsi="Courier New"/>
          <w:color w:val="7A4F0A"/>
          <w:sz w:val="20"/>
          <w:szCs w:val="20"/>
        </w:rPr>
        <w:t xml:space="preserve">pngs.us</w:t>
      </w:r>
      <w:r>
        <w:t xml:space="preserve"> and </w:t>
      </w:r>
      <w:r>
        <w:rPr>
          <w:rFonts w:ascii="Courier New" w:cs="Courier New" w:eastAsia="Courier New" w:hAnsi="Courier New"/>
          <w:color w:val="7A4F0A"/>
          <w:sz w:val="20"/>
          <w:szCs w:val="20"/>
        </w:rPr>
        <w:t xml:space="preserve">dev.hacktrader.com</w:t>
      </w:r>
      <w:r>
        <w:t xml:space="preserve">.</w:t>
      </w:r>
    </w:p>
    <w:p>
      <w:pPr>
        <w:pStyle w:val="Heading3"/>
      </w:pPr>
      <w:r>
        <w:t xml:space="preserve">Section 2 — Mark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Mark format</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Standard Character Mark</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Mark literal element</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7A4F0A"/>
                <w:sz w:val="20"/>
                <w:szCs w:val="20"/>
              </w:rPr>
              <w:t xml:space="preserve">HackTrader</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Description of mark</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(leave blank for standard character marks)</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Color claim</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(leave blank for standard character marks)</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Translation</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(none, the mark has no foreign-language elements)</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Disclaimer</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(none — "HackTrader" is a coined / suggestive mark; no descriptive components need to be disclaimed)</w:t>
            </w:r>
          </w:p>
        </w:tc>
      </w:tr>
    </w:tbl>
    <w:p>
      <w:pPr>
        <w:pStyle w:val="Heading3"/>
      </w:pPr>
      <w:r>
        <w:t xml:space="preserve">Section 3 — Goods and services</w:t>
      </w:r>
    </w:p>
    <w:p>
      <w:pPr>
        <w:spacing w:after="80" w:before="80"/>
      </w:pPr>
      <w:r>
        <w:t xml:space="preserve">Add </w:t>
      </w:r>
      <w:r>
        <w:rPr>
          <w:b/>
          <w:bCs/>
        </w:rPr>
        <w:t xml:space="preserve">one</w:t>
      </w:r>
      <w:r>
        <w:t xml:space="preserve"> class:</w:t>
      </w:r>
    </w:p>
    <w:p>
      <w:pPr>
        <w:spacing w:after="80" w:before="80"/>
      </w:pPr>
      <w:r>
        <w:rPr>
          <w:b/>
          <w:bCs/>
        </w:rPr>
        <w:t xml:space="preserve">International Class 042</w:t>
      </w:r>
    </w:p>
    <w:p>
      <w:pPr>
        <w:spacing w:after="80" w:before="80"/>
      </w:pPr>
      <w:r>
        <w:t xml:space="preserve">Identification:</w:t>
      </w:r>
    </w:p>
    <w:p>
      <w:pPr>
        <w:pBdr>
          <w:left w:val="single" w:color="BBBBBB" w:sz="18" w:space="12"/>
        </w:pBdr>
        <w:spacing w:after="80" w:before="80"/>
        <w:ind w:left="720"/>
      </w:pPr>
      <w:r>
        <w:t xml:space="preserve">Software as a service (SAAS) services featuring software for visualizing financial market structure, including correlation between financial instruments, support and resistance levels, channel geometry, and volume context, for use by active traders.</w:t>
      </w:r>
    </w:p>
    <w:p>
      <w:pPr>
        <w:spacing w:after="80" w:before="80"/>
      </w:pPr>
      <w:r>
        <w:t xml:space="preserve">Filing basis: </w:t>
      </w:r>
      <w:r>
        <w:rPr>
          <w:b/>
          <w:bCs/>
        </w:rPr>
        <w:t xml:space="preserve">Section 1(a) — Use in 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Date of First Use Anywhere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7A4F0A"/>
                <w:sz w:val="20"/>
                <w:szCs w:val="20"/>
              </w:rPr>
              <w:t xml:space="preserve">[fill in]</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Date of First Use in Commerce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7A4F0A"/>
                <w:sz w:val="20"/>
                <w:szCs w:val="20"/>
              </w:rPr>
              <w:t xml:space="preserve">[fill in]</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Specimen</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Upload a screenshot of </w:t>
            </w:r>
            <w:r>
              <w:rPr>
                <w:rFonts w:ascii="Courier New" w:cs="Courier New" w:eastAsia="Courier New" w:hAnsi="Courier New"/>
                <w:color w:val="7A4F0A"/>
                <w:sz w:val="20"/>
                <w:szCs w:val="20"/>
              </w:rPr>
              <w:t xml:space="preserve">dev.hacktrader.com</w:t>
            </w:r>
            <w:r>
              <w:t xml:space="preserve"> homepage</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Specimen description</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7A4F0A"/>
                <w:sz w:val="20"/>
                <w:szCs w:val="20"/>
              </w:rPr>
              <w:t xml:space="preserve">Screenshot of the homepage of www.dev.hacktrader.com showing the mark used in connection with the services</w:t>
            </w:r>
          </w:p>
        </w:tc>
      </w:tr>
    </w:tbl>
    <w:p>
      <w:pPr>
        <w:pStyle w:val="Heading3"/>
      </w:pPr>
      <w:r>
        <w:t xml:space="preserve">Section 4 — Correspondence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Correspondence email</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7A4F0A"/>
                <w:sz w:val="20"/>
                <w:szCs w:val="20"/>
              </w:rPr>
              <w:t xml:space="preserve">info@pngs.us</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Correspondence address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7A4F0A"/>
                <w:sz w:val="20"/>
                <w:szCs w:val="20"/>
              </w:rPr>
              <w:t xml:space="preserve">999 Corporate Drive, Ste 100, Ladera Ranch, CA 92694</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Correspondence phone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7A4F0A"/>
                <w:sz w:val="20"/>
                <w:szCs w:val="20"/>
              </w:rPr>
              <w:t xml:space="preserve">(949) 335-9688</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Authorize email</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Yes</w:t>
            </w:r>
          </w:p>
        </w:tc>
      </w:tr>
    </w:tbl>
    <w:p>
      <w:pPr>
        <w:pStyle w:val="Heading3"/>
      </w:pPr>
      <w:r>
        <w:t xml:space="preserve">Section 5 — Signature</w:t>
      </w:r>
    </w:p>
    <w:p>
      <w:pPr>
        <w:spacing w:after="80" w:before="80"/>
      </w:pPr>
      <w:r>
        <w:t xml:space="preserve">You sign as an authorized signer for the applicant. Title: "Sole Member" or "Manager" of Penguins LLC.</w:t>
      </w:r>
    </w:p>
    <w:p>
      <w:pPr>
        <w:spacing w:after="80" w:before="80"/>
      </w:pPr>
      <w:r>
        <w:t xml:space="preserve">The declaration certifies:</w:t>
      </w:r>
    </w:p>
    <w:p>
      <w:pPr>
        <w:pStyle w:val="ListParagraph"/>
        <w:numPr>
          <w:ilvl w:val="0"/>
          <w:numId w:val="3"/>
        </w:numPr>
      </w:pPr>
      <w:r>
        <w:t xml:space="preserve">The signer is properly authorized to execute the application;</w:t>
      </w:r>
    </w:p>
    <w:p>
      <w:pPr>
        <w:pStyle w:val="ListParagraph"/>
        <w:numPr>
          <w:ilvl w:val="0"/>
          <w:numId w:val="3"/>
        </w:numPr>
      </w:pPr>
      <w:r>
        <w:t xml:space="preserve">All information is true to the best of the signer's knowledge;</w:t>
      </w:r>
    </w:p>
    <w:p>
      <w:pPr>
        <w:pStyle w:val="ListParagraph"/>
        <w:numPr>
          <w:ilvl w:val="0"/>
          <w:numId w:val="3"/>
        </w:numPr>
      </w:pPr>
      <w:r>
        <w:t xml:space="preserve">The applicant believes it is the owner of the mark;</w:t>
      </w:r>
    </w:p>
    <w:p>
      <w:pPr>
        <w:pStyle w:val="ListParagraph"/>
        <w:numPr>
          <w:ilvl w:val="0"/>
          <w:numId w:val="3"/>
        </w:numPr>
      </w:pPr>
      <w:r>
        <w:t xml:space="preserve">To the best of the signer's knowledge, no other entity has the right to use the mark in commerce in a manner that would cause confusion;</w:t>
      </w:r>
    </w:p>
    <w:p>
      <w:pPr>
        <w:pStyle w:val="ListParagraph"/>
        <w:numPr>
          <w:ilvl w:val="0"/>
          <w:numId w:val="3"/>
        </w:numPr>
      </w:pPr>
      <w:r>
        <w:t xml:space="preserve">The dates of first use are accurate;</w:t>
      </w:r>
    </w:p>
    <w:p>
      <w:pPr>
        <w:pStyle w:val="ListParagraph"/>
        <w:numPr>
          <w:ilvl w:val="0"/>
          <w:numId w:val="3"/>
        </w:numPr>
      </w:pPr>
      <w:r>
        <w:t xml:space="preserve">The specimen submitted shows the mark as used in commerce.</w:t>
      </w:r>
    </w:p>
    <w:p>
      <w:pPr>
        <w:pStyle w:val="Heading3"/>
      </w:pPr>
      <w:r>
        <w:t xml:space="preserve">Section 6 — Pay the fee</w:t>
      </w:r>
    </w:p>
    <w:p>
      <w:pPr>
        <w:spacing w:after="80" w:before="80"/>
      </w:pPr>
      <w:r>
        <w:t xml:space="preserve">TEAS Plus: </w:t>
      </w:r>
      <w:r>
        <w:rPr>
          <w:b/>
          <w:bCs/>
        </w:rPr>
        <w:t xml:space="preserve">$250 per class × 1 class = $250.</w:t>
      </w:r>
      <w:r>
        <w:t xml:space="preserve"> TEAS Standard: </w:t>
      </w:r>
      <w:r>
        <w:rPr>
          <w:b/>
          <w:bCs/>
        </w:rPr>
        <w:t xml:space="preserve">$350 per class × 1 class = $350.</w:t>
      </w:r>
    </w:p>
    <w:p>
      <w:pPr>
        <w:spacing w:after="80" w:before="80"/>
      </w:pPr>
      <w:r>
        <w:t xml:space="preserve">Paid via credit/debit card, ACH, or USPTO deposit account.</w:t>
      </w:r>
    </w:p>
    <w:p>
      <w:pPr>
        <w:pStyle w:val="Heading3"/>
      </w:pPr>
      <w:r>
        <w:t xml:space="preserve">Section 7 — Submit</w:t>
      </w:r>
    </w:p>
    <w:p>
      <w:pPr>
        <w:spacing w:after="80" w:before="80"/>
      </w:pPr>
      <w:r>
        <w:t xml:space="preserve">Hit submit. The system issues a serial number. The application is examined by a USPTO Examining Attorney over the following ~3 months. You may receive an Office Action requesting clarification or amendments.</w:t>
      </w:r>
    </w:p>
    <w:p>
      <w:pPr>
        <w:pBdr>
          <w:bottom w:val="single" w:color="888888" w:sz="6" w:space="1"/>
        </w:pBdr>
        <w:spacing w:after="240" w:before="240"/>
      </w:pPr>
    </w:p>
    <w:p>
      <w:pPr>
        <w:pStyle w:val="Heading2"/>
      </w:pPr>
      <w:r>
        <w:t xml:space="preserve">Pre-filing prior-art search</w:t>
      </w:r>
    </w:p>
    <w:p>
      <w:pPr>
        <w:spacing w:after="80" w:before="80"/>
      </w:pPr>
      <w:r>
        <w:rPr>
          <w:b/>
          <w:bCs/>
        </w:rPr>
        <w:t xml:space="preserve">Critical step before filing.</w:t>
      </w:r>
      <w:r>
        <w:t xml:space="preserve"> Do a search for existing trademarks that could conflict.</w:t>
      </w:r>
    </w:p>
    <w:p>
      <w:pPr>
        <w:pStyle w:val="Heading3"/>
      </w:pPr>
      <w:r>
        <w:t xml:space="preserve">Where to search</w:t>
      </w:r>
    </w:p>
    <w:p>
      <w:pPr>
        <w:pStyle w:val="ListParagraph"/>
        <w:numPr>
          <w:ilvl w:val="0"/>
          <w:numId w:val="2"/>
        </w:numPr>
      </w:pPr>
      <w:r>
        <w:rPr>
          <w:b/>
          <w:bCs/>
        </w:rPr>
        <w:t xml:space="preserve">USPTO TESS (Trademark Electronic Search System):</w:t>
      </w:r>
      <w:r>
        <w:t xml:space="preserve"> </w:t>
      </w:r>
      <w:hyperlink w:history="1" r:id="rIdecva0qrne0cv2238mpzb0">
        <w:r>
          <w:rPr>
            <w:rStyle w:val="Hyperlink"/>
          </w:rPr>
          <w:t xml:space="preserve">tmsearch.uspto.gov</w:t>
        </w:r>
      </w:hyperlink>
    </w:p>
    <w:p>
      <w:pPr>
        <w:spacing w:after="80" w:before="80"/>
      </w:pPr>
      <w:r>
        <w:t xml:space="preserve">   - Search "HackTrader" exactly    - Search "Hack Trader" (with space)    - Search "HackTrade" and "HacTrader" (similar marks)    - Search "Hacker Trader" (phonetically similar)</w:t>
      </w:r>
    </w:p>
    <w:p>
      <w:pPr>
        <w:pStyle w:val="ListParagraph"/>
        <w:numPr>
          <w:ilvl w:val="0"/>
          <w:numId w:val="2"/>
        </w:numPr>
      </w:pPr>
      <w:r>
        <w:rPr>
          <w:b/>
          <w:bCs/>
        </w:rPr>
        <w:t xml:space="preserve">Common-law search:</w:t>
      </w:r>
    </w:p>
    <w:p>
      <w:pPr>
        <w:spacing w:after="80" w:before="80"/>
      </w:pPr>
      <w:r>
        <w:t xml:space="preserve">   - Google "HackTrader" + finance, trading, software    - Search the App Store and Google Play Store for any apps with this name    - Check </w:t>
      </w:r>
      <w:r>
        <w:rPr>
          <w:rFonts w:ascii="Courier New" w:cs="Courier New" w:eastAsia="Courier New" w:hAnsi="Courier New"/>
          <w:color w:val="7A4F0A"/>
          <w:sz w:val="20"/>
          <w:szCs w:val="20"/>
        </w:rPr>
        <w:t xml:space="preserve">hacktrader.io</w:t>
      </w:r>
      <w:r>
        <w:t xml:space="preserve">, </w:t>
      </w:r>
      <w:r>
        <w:rPr>
          <w:rFonts w:ascii="Courier New" w:cs="Courier New" w:eastAsia="Courier New" w:hAnsi="Courier New"/>
          <w:color w:val="7A4F0A"/>
          <w:sz w:val="20"/>
          <w:szCs w:val="20"/>
        </w:rPr>
        <w:t xml:space="preserve">hacktrader.app</w:t>
      </w:r>
      <w:r>
        <w:t xml:space="preserve">, etc. — even if they're parked, they might be opportunistic squatters</w:t>
      </w:r>
    </w:p>
    <w:p>
      <w:pPr>
        <w:pStyle w:val="ListParagraph"/>
        <w:numPr>
          <w:ilvl w:val="0"/>
          <w:numId w:val="2"/>
        </w:numPr>
      </w:pPr>
      <w:r>
        <w:rPr>
          <w:b/>
          <w:bCs/>
        </w:rPr>
        <w:t xml:space="preserve">State trademark databases:</w:t>
      </w:r>
      <w:r>
        <w:t xml:space="preserve"> check California's Secretary of State trademark registry, plus any other states where you intend to operate.</w:t>
      </w:r>
    </w:p>
    <w:p>
      <w:pPr>
        <w:pStyle w:val="Heading3"/>
      </w:pPr>
      <w:r>
        <w:t xml:space="preserve">What to do if you find a conflict</w:t>
      </w:r>
    </w:p>
    <w:p>
      <w:pPr>
        <w:spacing w:after="80" w:before="80"/>
      </w:pPr>
      <w:r>
        <w:t xml:space="preserve">If the conflicting mark is:</w:t>
      </w:r>
    </w:p>
    <w:p>
      <w:pPr>
        <w:pStyle w:val="ListParagraph"/>
        <w:numPr>
          <w:ilvl w:val="0"/>
          <w:numId w:val="3"/>
        </w:numPr>
      </w:pPr>
      <w:r>
        <w:rPr>
          <w:b/>
          <w:bCs/>
        </w:rPr>
        <w:t xml:space="preserve">In a completely different class</w:t>
      </w:r>
      <w:r>
        <w:t xml:space="preserve"> (e.g., HackTrader for shoes, not finance) — likely no conflict; proceed with filing.</w:t>
      </w:r>
    </w:p>
    <w:p>
      <w:pPr>
        <w:pStyle w:val="ListParagraph"/>
        <w:numPr>
          <w:ilvl w:val="0"/>
          <w:numId w:val="3"/>
        </w:numPr>
      </w:pPr>
      <w:r>
        <w:rPr>
          <w:b/>
          <w:bCs/>
        </w:rPr>
        <w:t xml:space="preserve">In a related class but with different goods/services</w:t>
      </w:r>
      <w:r>
        <w:t xml:space="preserve"> — possible conflict; consult an attorney.</w:t>
      </w:r>
    </w:p>
    <w:p>
      <w:pPr>
        <w:pStyle w:val="ListParagraph"/>
        <w:numPr>
          <w:ilvl w:val="0"/>
          <w:numId w:val="3"/>
        </w:numPr>
      </w:pPr>
      <w:r>
        <w:rPr>
          <w:b/>
          <w:bCs/>
        </w:rPr>
        <w:t xml:space="preserve">In the same class</w:t>
      </w:r>
      <w:r>
        <w:t xml:space="preserve"> (Class 42) and substantively similar — significant conflict; do not file. Either rebrand or contact the existing trademark holder about coexistence.</w:t>
      </w:r>
    </w:p>
    <w:p>
      <w:pPr>
        <w:pStyle w:val="Heading3"/>
      </w:pPr>
      <w:r>
        <w:t xml:space="preserve">What to do if no conflict</w:t>
      </w:r>
    </w:p>
    <w:p>
      <w:pPr>
        <w:spacing w:after="80" w:before="80"/>
      </w:pPr>
      <w:r>
        <w:t xml:space="preserve">Proceed with filing. The USPTO Examining Attorney will do their own prior-art search; you're just trying to avoid an obvious overlap that would result in a rejection and lost filing fee.</w:t>
      </w:r>
    </w:p>
    <w:p>
      <w:pPr>
        <w:pBdr>
          <w:bottom w:val="single" w:color="888888" w:sz="6" w:space="1"/>
        </w:pBdr>
        <w:spacing w:after="240" w:before="240"/>
      </w:pPr>
    </w:p>
    <w:p>
      <w:pPr>
        <w:pStyle w:val="Heading2"/>
      </w:pPr>
      <w:r>
        <w:t xml:space="preserve">After filing</w:t>
      </w:r>
    </w:p>
    <w:p>
      <w:pPr>
        <w:pStyle w:val="Heading3"/>
      </w:pPr>
      <w:r>
        <w:t xml:space="preserve">Examination phase (months 1–3)</w:t>
      </w:r>
    </w:p>
    <w:p>
      <w:pPr>
        <w:spacing w:after="80" w:before="80"/>
      </w:pPr>
      <w:r>
        <w:t xml:space="preserve">The application is assigned to an Examining Attorney who reviews it for compliance and prior-art conflicts. Possible outcomes:</w:t>
      </w:r>
    </w:p>
    <w:p>
      <w:pPr>
        <w:pStyle w:val="ListParagraph"/>
        <w:numPr>
          <w:ilvl w:val="0"/>
          <w:numId w:val="3"/>
        </w:numPr>
      </w:pPr>
      <w:r>
        <w:rPr>
          <w:b/>
          <w:bCs/>
        </w:rPr>
        <w:t xml:space="preserve">Approval for publication</w:t>
      </w:r>
      <w:r>
        <w:t xml:space="preserve"> — your mark is found acceptable. Proceeds to publication.</w:t>
      </w:r>
    </w:p>
    <w:p>
      <w:pPr>
        <w:pStyle w:val="ListParagraph"/>
        <w:numPr>
          <w:ilvl w:val="0"/>
          <w:numId w:val="3"/>
        </w:numPr>
      </w:pPr>
      <w:r>
        <w:rPr>
          <w:b/>
          <w:bCs/>
        </w:rPr>
        <w:t xml:space="preserve">Office Action</w:t>
      </w:r>
      <w:r>
        <w:t xml:space="preserve"> — the Examining Attorney requests clarification, amendment, or refuses the registration. You have 6 months to respond.</w:t>
      </w:r>
    </w:p>
    <w:p>
      <w:pPr>
        <w:pStyle w:val="Heading3"/>
      </w:pPr>
      <w:r>
        <w:t xml:space="preserve">Publication phase (months 3–4)</w:t>
      </w:r>
    </w:p>
    <w:p>
      <w:pPr>
        <w:spacing w:after="80" w:before="80"/>
      </w:pPr>
      <w:r>
        <w:t xml:space="preserve">Approved marks are published in the </w:t>
      </w:r>
      <w:r>
        <w:rPr>
          <w:i/>
          <w:iCs/>
        </w:rPr>
        <w:t xml:space="preserve">Official Gazette</w:t>
      </w:r>
      <w:r>
        <w:t xml:space="preserve"> for a 30-day opposition period. Anyone who believes they would be damaged by your registration can file an opposition.</w:t>
      </w:r>
    </w:p>
    <w:p>
      <w:pPr>
        <w:pStyle w:val="Heading3"/>
      </w:pPr>
      <w:r>
        <w:t xml:space="preserve">Registration (months 8–12)</w:t>
      </w:r>
    </w:p>
    <w:p>
      <w:pPr>
        <w:spacing w:after="80" w:before="80"/>
      </w:pPr>
      <w:r>
        <w:t xml:space="preserve">If no opposition (or oppositions are decided in your favor), the mark registers. You receive a Registration Certificate by mail.</w:t>
      </w:r>
    </w:p>
    <w:p>
      <w:pPr>
        <w:pStyle w:val="Heading3"/>
      </w:pPr>
      <w:r>
        <w:t xml:space="preserve">Maintenance</w:t>
      </w:r>
    </w:p>
    <w:p>
      <w:pPr>
        <w:spacing w:after="80" w:before="80"/>
      </w:pPr>
      <w:r>
        <w:t xml:space="preserve">After registration, you must file maintenance documents to keep the registration alive: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c>
          <w:tcPr>
            <w:tcW w:type="dxa" w:w="312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c>
          <w:tcPr>
            <w:tcW w:type="dxa" w:w="312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Between 5th and 6th anniversary</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Section 8 Declaration of Continuous Use</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~$225/class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Between 9th and 10th anniversary</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Section 8 + Section 9 Renewal</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~$525/class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Every 10 years thereafter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Section 8 + Section 9 Renewal</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~$525/class</w:t>
            </w:r>
          </w:p>
        </w:tc>
      </w:tr>
    </w:tbl>
    <w:p>
      <w:pPr>
        <w:spacing w:after="80" w:before="80"/>
      </w:pPr>
      <w:r>
        <w:t xml:space="preserve">Failure to file these will let the registration lapse.</w:t>
      </w:r>
    </w:p>
    <w:p>
      <w:pPr>
        <w:spacing w:after="80" w:before="80"/>
      </w:pPr>
      <w:r>
        <w:t xml:space="preserve">You should also use the registered ® symbol on the mark in commerce (typically as </w:t>
      </w:r>
      <w:r>
        <w:rPr>
          <w:rFonts w:ascii="Courier New" w:cs="Courier New" w:eastAsia="Courier New" w:hAnsi="Courier New"/>
          <w:color w:val="7A4F0A"/>
          <w:sz w:val="20"/>
          <w:szCs w:val="20"/>
        </w:rPr>
        <w:t xml:space="preserve">HackTrader®</w:t>
      </w:r>
      <w:r>
        <w:t xml:space="preserve"> in product copy and the website footer) once the registration issues. Until then, use ™ to claim common-law rights.</w:t>
      </w:r>
    </w:p>
    <w:p>
      <w:pPr>
        <w:pBdr>
          <w:bottom w:val="single" w:color="888888" w:sz="6" w:space="1"/>
        </w:pBdr>
        <w:spacing w:after="240" w:before="240"/>
      </w:pPr>
    </w:p>
    <w:p>
      <w:pPr>
        <w:pStyle w:val="Heading2"/>
      </w:pPr>
      <w:r>
        <w:t xml:space="preserve">Estimated total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c>
          <w:tcPr>
            <w:tcW w:type="dxa" w:w="4680"/>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r>
              <w:rPr>
                <w:b/>
                <w:bCs/>
              </w:rPr>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TEAS Plus filing fee (1 class)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$250</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Time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~3 hours (including prior-art search)</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Total</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$250</w:t>
            </w:r>
          </w:p>
        </w:tc>
      </w:tr>
    </w:tbl>
    <w:p>
      <w:pPr>
        <w:pBdr>
          <w:bottom w:val="single" w:color="888888" w:sz="6" w:space="1"/>
        </w:pBdr>
        <w:spacing w:after="240" w:before="240"/>
      </w:pPr>
    </w:p>
    <w:p>
      <w:pPr>
        <w:pStyle w:val="Heading2"/>
      </w:pPr>
      <w:r>
        <w:t xml:space="preserve">Questions for the attorney</w:t>
      </w:r>
    </w:p>
    <w:p>
      <w:pPr>
        <w:pStyle w:val="ListParagraph"/>
        <w:numPr>
          <w:ilvl w:val="0"/>
          <w:numId w:val="2"/>
        </w:numPr>
      </w:pPr>
      <w:r>
        <w:t xml:space="preserve">Whether to file in Class 42 only or add Class 9 and/or Class 36.</w:t>
      </w:r>
    </w:p>
    <w:p>
      <w:pPr>
        <w:pStyle w:val="ListParagraph"/>
        <w:numPr>
          <w:ilvl w:val="0"/>
          <w:numId w:val="2"/>
        </w:numPr>
      </w:pPr>
      <w:r>
        <w:t xml:space="preserve">Whether to use TEAS Plus or TEAS Standard.</w:t>
      </w:r>
    </w:p>
    <w:p>
      <w:pPr>
        <w:pStyle w:val="ListParagraph"/>
        <w:numPr>
          <w:ilvl w:val="0"/>
          <w:numId w:val="2"/>
        </w:numPr>
      </w:pPr>
      <w:r>
        <w:t xml:space="preserve">Whether to file the wordmark as standard character first, or also file a stylized/logo mark.</w:t>
      </w:r>
    </w:p>
    <w:p>
      <w:pPr>
        <w:pStyle w:val="ListParagraph"/>
        <w:numPr>
          <w:ilvl w:val="0"/>
          <w:numId w:val="2"/>
        </w:numPr>
      </w:pPr>
      <w:r>
        <w:t xml:space="preserve">Whether to also file an international application via the Madrid Protocol (if you anticipate non-U.S. customers).</w:t>
      </w:r>
    </w:p>
    <w:p>
      <w:pPr>
        <w:pStyle w:val="ListParagraph"/>
        <w:numPr>
          <w:ilvl w:val="0"/>
          <w:numId w:val="2"/>
        </w:numPr>
      </w:pPr>
      <w:r>
        <w:t xml:space="preserve">Whether the dates of first use are correctly determined for your particular use history.</w:t>
      </w:r>
    </w:p>
    <w:p>
      <w:pPr>
        <w:pStyle w:val="ListParagraph"/>
        <w:numPr>
          <w:ilvl w:val="0"/>
          <w:numId w:val="2"/>
        </w:numPr>
      </w:pPr>
      <w:r>
        <w:t xml:space="preserve">Whether to include the penguin (🐧) emoji or a stylized penguin design as part of a separate logo trademark filing.</w:t>
      </w:r>
    </w:p>
    <w:p>
      <w:pPr>
        <w:pBdr>
          <w:bottom w:val="single" w:color="888888" w:sz="6" w:space="1"/>
        </w:pBdr>
        <w:spacing w:after="240" w:before="240"/>
      </w:pPr>
    </w:p>
    <w:p>
      <w:pPr>
        <w:pStyle w:val="Heading2"/>
      </w:pPr>
      <w:r>
        <w:t xml:space="preserve">Companion filings to consider</w:t>
      </w:r>
    </w:p>
    <w:p>
      <w:pPr>
        <w:spacing w:after="80" w:before="80"/>
      </w:pPr>
      <w:r>
        <w:t xml:space="preserve">After the wordmark is filed, you may also want:</w:t>
      </w:r>
    </w:p>
    <w:p>
      <w:pPr>
        <w:pStyle w:val="ListParagraph"/>
        <w:numPr>
          <w:ilvl w:val="0"/>
          <w:numId w:val="3"/>
        </w:numPr>
      </w:pPr>
      <w:r>
        <w:rPr>
          <w:b/>
          <w:bCs/>
        </w:rPr>
        <w:t xml:space="preserve">Trademark on the radial radar visualization</w:t>
      </w:r>
      <w:r>
        <w:t xml:space="preserve"> — possibly. The visual itself may qualify as a "trade dress" or "design mark." This is a separate filing in the same or different class. Discuss with attorney.</w:t>
      </w:r>
    </w:p>
    <w:p>
      <w:pPr>
        <w:pStyle w:val="ListParagraph"/>
        <w:numPr>
          <w:ilvl w:val="0"/>
          <w:numId w:val="3"/>
        </w:numPr>
      </w:pPr>
      <w:r>
        <w:rPr>
          <w:b/>
          <w:bCs/>
        </w:rPr>
        <w:t xml:space="preserve">Trademark on "Penguins LLC"</w:t>
      </w:r>
      <w:r>
        <w:t xml:space="preserve"> as a service mark — defensive only; the LLC name itself is already protected by California state filings, but a federal trademark adds nationwide rights.</w:t>
      </w:r>
    </w:p>
    <w:p>
      <w:pPr>
        <w:pStyle w:val="ListParagraph"/>
        <w:numPr>
          <w:ilvl w:val="0"/>
          <w:numId w:val="3"/>
        </w:numPr>
      </w:pPr>
      <w:r>
        <w:rPr>
          <w:b/>
          <w:bCs/>
        </w:rPr>
        <w:t xml:space="preserve">Domain name protection</w:t>
      </w:r>
      <w:r>
        <w:t xml:space="preserve"> — make sure </w:t>
      </w:r>
      <w:r>
        <w:rPr>
          <w:rFonts w:ascii="Courier New" w:cs="Courier New" w:eastAsia="Courier New" w:hAnsi="Courier New"/>
          <w:color w:val="7A4F0A"/>
          <w:sz w:val="20"/>
          <w:szCs w:val="20"/>
        </w:rPr>
        <w:t xml:space="preserve">hacktrader.com</w:t>
      </w:r>
      <w:r>
        <w:t xml:space="preserve"> is registered with privacy enabled and auto-renewal turned on. Register common typos and TLDs (</w:t>
      </w:r>
      <w:r>
        <w:rPr>
          <w:rFonts w:ascii="Courier New" w:cs="Courier New" w:eastAsia="Courier New" w:hAnsi="Courier New"/>
          <w:color w:val="7A4F0A"/>
          <w:sz w:val="20"/>
          <w:szCs w:val="20"/>
        </w:rPr>
        <w:t xml:space="preserve">hacktrader.app</w:t>
      </w:r>
      <w:r>
        <w:t xml:space="preserve">, </w:t>
      </w:r>
      <w:r>
        <w:rPr>
          <w:rFonts w:ascii="Courier New" w:cs="Courier New" w:eastAsia="Courier New" w:hAnsi="Courier New"/>
          <w:color w:val="7A4F0A"/>
          <w:sz w:val="20"/>
          <w:szCs w:val="20"/>
        </w:rPr>
        <w:t xml:space="preserve">hacktrader.io</w:t>
      </w:r>
      <w:r>
        <w:t xml:space="preserve">, etc.) defensively.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Trademark Application Worksheet — HackTrader</w:t>
    </w:r>
    <w:r>
      <w:rPr>
        <w:color w:val="888888"/>
        <w:sz w:val="18"/>
        <w:szCs w:val="18"/>
      </w:rPr>
      <w:t xml:space="preserv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A4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2A44"/>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2A44"/>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sz w:val="22"/>
      <w:szCs w:val="22"/>
    </w:rPr>
  </w:style>
  <w:style w:type="paragraph" w:styleId="Hyperlink">
    <w:name w:val="Hyperlink"/>
    <w:basedOn w:val="Normal"/>
    <w:rPr>
      <w:color w:val="1F4E9E"/>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bn-c9d0qi0v_9whlxt-e" Type="http://schemas.openxmlformats.org/officeDocument/2006/relationships/hyperlink" Target="https://www.uspto.gov" TargetMode="External"/><Relationship Id="rId-wxgfibmstsp6scsdrfdc" Type="http://schemas.openxmlformats.org/officeDocument/2006/relationships/hyperlink" Target="https://teas.uspto.gov/forms/index.jsp" TargetMode="External"/><Relationship Id="rIdecva0qrne0cv2238mpzb0" Type="http://schemas.openxmlformats.org/officeDocument/2006/relationships/hyperlink" Target="https://tmsearch.uspto.go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Trademark Application Worksheet — HackTrader</dc:title>
  <dc:creator>Penguins LLC</dc:creator>
  <cp:lastModifiedBy>Un-named</cp:lastModifiedBy>
  <cp:revision>1</cp:revision>
  <dcterms:created xsi:type="dcterms:W3CDTF">2026-05-09T03:32:05.589Z</dcterms:created>
  <dcterms:modified xsi:type="dcterms:W3CDTF">2026-05-09T03:32:05.589Z</dcterms:modified>
</cp:coreProperties>
</file>

<file path=docProps/custom.xml><?xml version="1.0" encoding="utf-8"?>
<Properties xmlns="http://schemas.openxmlformats.org/officeDocument/2006/custom-properties" xmlns:vt="http://schemas.openxmlformats.org/officeDocument/2006/docPropsVTypes"/>
</file>