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Plan de Test et Bonnes Pratiques</w:t>
      </w:r>
    </w:p>
    <w:p/>
    <w:p>
      <w:r>
        <w:t>1. Couverture fonctionnelle complète</w:t>
      </w:r>
    </w:p>
    <w:p>
      <w:r>
        <w:t>2. Structuration des cas d’utilisation</w:t>
      </w:r>
    </w:p>
    <w:p>
      <w:r>
        <w:t>3. Automatisation des tests critiques</w:t>
      </w:r>
    </w:p>
    <w:p>
      <w:r>
        <w:t>4. Tests de régression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