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D80074"/>
        </w:rPr>
        <w:t xml:space="preserve">Citrix Use Case Register — CMO &amp; Manual Operation Details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Draft compiled from the submitted use case list. Manual step sequences and lead times below are initial estimates based on typical current practice — please review and adjust to match the exact steps and timings your team follows before this is finalized.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435 — CI List for Patching and Monitoring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435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 List for Patching and Monitoring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Ensure patch compliance, improve visibility, and reduce vulnerabilities across environments.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Log in to ServiceNow CMDB and filter Configuration Items by Citrix environment class (Delivery Controllers, VDAs, StoreFront, NetScaler).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Export the filtered CI list to Excel.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Separately open Citrix Studio/Director and list all active machines/catalogs per region (europe/asia-pac/americas).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Manually compare the ServiceNow export against the Citrix Studio inventory line-by-line.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Flag CIs present in CMDB but not in Citrix (decommissioned, not removed) and vice versa (new servers not yet registered).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Check each CI's patch group/collection assignment in the HPSA console.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Update the master patch tracker spreadsheet with the reconciled list, patch group, and last-patched date.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Email the updated list to Patch Management and the Automation Lead for sign-off.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Follow up individually with server owners on unresolved discrepancies via email/Teams.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Re-validate the list the day before the scheduled patch window.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3–4 hours per cycle, repeated weekly.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438 — Daily Checklist in Panorama and Palo Alto Firewall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438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Daily Checklist in Panorama and Palo Alto Firewall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Strengthen security posture, ensure compliance, and reduce risk of outages.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Log in to the Panorama console.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Check the Dashboard health widget for CPU/memory/session utilization on each firewall pair.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Check HA sync status between primary and secondary firewalls.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Review Monitor &gt; Logs &gt; Threat for the last 24 hours.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Review Monitor &gt; Logs &gt; Traffic for unusual spikes or blocked sessions.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Log in separately to each regional Palo Alto firewall web UI to confirm local status matches the Panorama view.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Check certificate expiry for management and VPN certificates.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Record Pass/Fail/Attention status for each check in the daily checklist tracker.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Raise a ticket and notify the Network Security on-call engineer for any anomaly.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Sign off the entry with timestamp and engineer name; archive to the shared folder.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45–60 minutes per day.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439 — CPU Utilization Request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439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CPU Utilization Request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Monitor CPU utilization, identify resource bottlenecks, and optimize compute allocation across Citrix session hosts.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Receive the CPU utilization complaint/request via ServiceNow or email.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Identify the affected VDA/session host and user session from the ticket.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Establish an RDP or Citrix Director remote session to the machine.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Open Task Manager/Resource Monitor or Perfmon and observe live CPU usage for 5–10 minutes.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Sort processes by CPU usage to identify top consumers.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Cross-check the process against the known application list to confirm expected vs. abnormal usage.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If abnormal, attempt manual remediation (restart process/app, log off idle sessions, clear temp files).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If usage stays high, check for pending Windows updates, malware scans, or a stuck scheduled task.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Capture before/after CPU screenshots as evidence.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Document root cause and remediation in the ticket, then close and notify the requester.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30–45 minutes per request.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440 — Citrix DR (Disaster Recovery)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440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Citrix DR (Disaster Recovery)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Ensure business continuity, minimize downtime, and strengthen resilience.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Schedule the DR test window and notify Citrix Ops, Network, Infra, and Business stakeholders.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Manually check DB and VM replication status at the DR site.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Verify Delivery Controller, StoreFront, and NetScaler config backups are current at DR.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Isolate/simulate shutdown of production components per the DR runbook.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Manually bring up DR site Delivery Controllers, License Server, StoreFront, and NetScaler.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Validate DB connectivity and site recovery status in Citrix Studio at DR.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Launch test user sessions from DR StoreFront to validate app/desktop delivery.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Validate printing, USB redirection, and network share access from DR sessions.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Document failures, error codes, and remediation actions taken.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Roll back: shut down the DR test session, restore production to primary.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sz w:val="20"/>
                <w:szCs w:val="20"/>
              </w:rPr>
              <w:t xml:space="preserve">Prepare and circulate the DR readiness/results report to Citrix Ops and SRE Leadership.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1–2 days per DR test cycle, run quarterly.</w:t>
            </w:r>
          </w:p>
        </w:tc>
      </w:tr>
    </w:tbl>
    <w:p>
      <w:pPr>
        <w:spacing w:after="3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gridSpan w:val="2"/>
            <w:shd w:fill="D80074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Use Case 441 — Customer Testing – Multiple Applications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441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Use Case Name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Customer Testing – Multiple Applications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Business Objective / Description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Improve quality assurance, reduce defects, and enhance customer satisfaction.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Manual Process (performed by Citrix team)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Receive the application list and target user profiles from the customer/business team.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Confirm test environment (Production/UAT) and Workspace access for the tester ID.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Log in to Citrix Workspace and manually launch each application one at a time.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 xml:space="preserve">Validate load time, UI rendering, and core functionality (open/save file, key transactions).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sz w:val="20"/>
                <w:szCs w:val="20"/>
              </w:rPr>
              <w:t xml:space="preserve">Test print redirection to a local/network printer.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sz w:val="20"/>
                <w:szCs w:val="20"/>
              </w:rPr>
              <w:t xml:space="preserve">Test USB/peripheral redirection where applicable (webcam, USB drive, scanner).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sz w:val="20"/>
                <w:szCs w:val="20"/>
              </w:rPr>
              <w:t xml:space="preserve">Test mapped network drive access and clipboard redirection between local and virtual session.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sz w:val="20"/>
                <w:szCs w:val="20"/>
              </w:rPr>
              <w:t xml:space="preserve">Record pass/fail, screenshots, and observations per application in the test tracker.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sz w:val="20"/>
                <w:szCs w:val="20"/>
              </w:rPr>
              <w:t xml:space="preserve">Log defects as tickets with the application owner, including reproduction steps.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sz w:val="20"/>
                <w:szCs w:val="20"/>
              </w:rPr>
              <w:t xml:space="preserve">Re-test failed applications once fixes are applied.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sz w:val="20"/>
                <w:szCs w:val="20"/>
              </w:rPr>
              <w:t xml:space="preserve">Compile the final test summary and share sign-off with the customer/business team.</w:t>
            </w:r>
          </w:p>
        </w:tc>
      </w:tr>
      <w:tr>
        <w:tc>
          <w:tcPr>
            <w:tcW w:type="dxa" w:w="2700"/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Current Lead Time (LT)</w:t>
            </w:r>
          </w:p>
        </w:tc>
        <w:tc>
          <w:tcPr>
            <w:tcW w:type="dxa" w:w="8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Approximately 2–3 hours per cycle, varies by app count.</w:t>
            </w:r>
          </w:p>
        </w:tc>
      </w:tr>
    </w:tbl>
    <w:p>
      <w:pPr>
        <w:spacing w:after="300"/>
      </w:pP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2026-07-13T04:06:49.303Z</dcterms:created>
  <dcterms:modified xsi:type="dcterms:W3CDTF">2026-07-13T04:06:49.322Z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