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jose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Setembro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Backend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31/08/2022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30/09/2022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asdasd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