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Dryrun Project Demo Guide</w:t>
      </w:r>
    </w:p>
    <w:p>
      <w:pPr>
        <w:spacing w:after="240"/>
      </w:pPr>
      <w:r>
        <w:rPr>
          <w:color w:val="596B76"/>
          <w:sz w:val="24"/>
        </w:rPr>
        <w:t>Project explanation, system flow and presenter script</w:t>
      </w:r>
    </w:p>
    <w:tbl>
      <w:tblPr>
        <w:tblW w:type="auto" w:w="0"/>
        <w:tblLayout w:type="fixed"/>
        <w:tblLook w:firstColumn="1" w:firstRow="1" w:lastColumn="0" w:lastRow="0" w:noHBand="0" w:noVBand="1" w:val="04A0"/>
      </w:tblPr>
      <w:tblGrid>
        <w:gridCol w:w="9648"/>
      </w:tblGrid>
      <w:tr>
        <w:tc>
          <w:tcPr>
            <w:tcW w:type="dxa" w:w="9994"/>
            <w:shd w:fill="EAF5F1"/>
            <w:tcMar>
              <w:top w:w="150" w:type="dxa"/>
              <w:start w:w="180" w:type="dxa"/>
              <w:bottom w:w="150" w:type="dxa"/>
              <w:end w:w="180" w:type="dxa"/>
            </w:tcMar>
          </w:tcPr>
          <w:p>
            <w:pPr>
              <w:spacing w:after="40"/>
            </w:pPr>
            <w:r/>
            <w:r>
              <w:rPr>
                <w:b/>
                <w:color w:val="147D73"/>
                <w:sz w:val="20"/>
              </w:rPr>
              <w:t>What Dryrun does</w:t>
            </w:r>
          </w:p>
          <w:p>
            <w:pPr>
              <w:spacing w:after="0" w:line="252" w:lineRule="auto"/>
            </w:pPr>
            <w:r>
              <w:rPr>
                <w:color w:val="24333D"/>
                <w:sz w:val="19"/>
              </w:rPr>
              <w:t>Dryrun inspects a public GitHub repository in a disposable Docker sandbox, uses Groq through LangChain to draft a setup plan, and waits for a person to approve proposed host actions before applying supported actions in a run-specific workspace.</w:t>
            </w:r>
          </w:p>
        </w:tc>
      </w:tr>
    </w:tbl>
    <w:p>
      <w:pPr>
        <w:spacing w:after="20"/>
      </w:pPr>
    </w:p>
    <w:p>
      <w:pPr>
        <w:pStyle w:val="Heading1"/>
        <w:keepNext/>
      </w:pPr>
      <w:r>
        <w:t>The problem we are solving</w:t>
      </w:r>
    </w:p>
    <w:p>
      <w:pPr>
        <w:spacing w:after="120" w:line="259" w:lineRule="auto"/>
      </w:pPr>
      <w:r>
        <w:t>Starting an unfamiliar code repository often means reading scattered setup notes, guessing which tools and packages it needs, and trying commands until it runs. A mistaken install or setup command can change the developer’s machine, while a long terminal transcript can make it hard to see what actually happened.</w:t>
      </w:r>
    </w:p>
    <w:p>
      <w:pPr>
        <w:spacing w:after="120" w:line="259" w:lineRule="auto"/>
      </w:pPr>
      <w:r>
        <w:t>Dryrun is designed to make that first setup attempt easier to inspect and safer to control. It gathers setup evidence, proposes a plan, and puts a human approval step before supported host changes.</w:t>
      </w:r>
    </w:p>
    <w:p>
      <w:pPr>
        <w:pStyle w:val="Heading1"/>
        <w:keepNext/>
      </w:pPr>
      <w:r>
        <w:t>How the product addresses the problem</w:t>
      </w:r>
    </w:p>
    <w:p>
      <w:pPr>
        <w:pStyle w:val="ListBullet"/>
        <w:spacing w:after="60"/>
      </w:pPr>
      <w:r>
        <w:rPr>
          <w:b/>
        </w:rPr>
        <w:t xml:space="preserve">Inspect first. </w:t>
      </w:r>
      <w:r>
        <w:t>The backend validates a GitHub URL, starts a disposable Docker sandbox, clones the repository there, and reads selected setup files such as README and dependency manifests.</w:t>
      </w:r>
    </w:p>
    <w:p>
      <w:pPr>
        <w:pStyle w:val="ListBullet"/>
        <w:spacing w:after="60"/>
      </w:pPr>
      <w:r>
        <w:rPr>
          <w:b/>
        </w:rPr>
        <w:t xml:space="preserve">Plan from evidence. </w:t>
      </w:r>
      <w:r>
        <w:t>LangGraph moves the run through validation, repository inspection and planning. Groq, accessed through LangChain, returns a typed setup plan that the backend validates.</w:t>
      </w:r>
    </w:p>
    <w:p>
      <w:pPr>
        <w:pStyle w:val="ListBullet"/>
        <w:spacing w:after="60"/>
      </w:pPr>
      <w:r>
        <w:rPr>
          <w:b/>
        </w:rPr>
        <w:t xml:space="preserve">Keep a person in control. </w:t>
      </w:r>
      <w:r>
        <w:t>The plan is shown for review. Dryrun waits for explicit approval before it creates the run workspace, clones the repository there and applies supported typed actions.</w:t>
      </w:r>
    </w:p>
    <w:p>
      <w:pPr>
        <w:pStyle w:val="ListBullet"/>
        <w:spacing w:after="60"/>
      </w:pPr>
      <w:r>
        <w:rPr>
          <w:b/>
        </w:rPr>
        <w:t xml:space="preserve">Limit host changes. </w:t>
      </w:r>
      <w:r>
        <w:t>Approved actions are confined to the run workspace. Operating-system package installation stays a manual step. Repository text is treated as untrusted evidence, not as instructions to the agent.</w:t>
      </w:r>
    </w:p>
    <w:p>
      <w:pPr>
        <w:pStyle w:val="Heading1"/>
        <w:keepNext/>
      </w:pPr>
      <w:r>
        <w:t>What the current demo does and does not claim</w:t>
      </w:r>
    </w:p>
    <w:p>
      <w:pPr>
        <w:spacing w:after="120" w:line="259" w:lineRule="auto"/>
      </w:pPr>
      <w:r>
        <w:t>The current flow can inspect a public repository and generate a plan. After approval, it can clone into an isolated per-run workspace and run supported actions such as creating a virtual environment, installing listed Python or npm packages, writing approved files or secrets, and starting a supported Python script.</w:t>
      </w:r>
    </w:p>
    <w:tbl>
      <w:tblPr>
        <w:tblW w:type="auto" w:w="0"/>
        <w:tblLayout w:type="fixed"/>
        <w:tblLook w:firstColumn="1" w:firstRow="1" w:lastColumn="0" w:lastRow="0" w:noHBand="0" w:noVBand="1" w:val="04A0"/>
      </w:tblPr>
      <w:tblGrid>
        <w:gridCol w:w="9648"/>
      </w:tblGrid>
      <w:tr>
        <w:tc>
          <w:tcPr>
            <w:tcW w:type="dxa" w:w="9994"/>
            <w:shd w:fill="FFF3D6"/>
            <w:tcMar>
              <w:top w:w="150" w:type="dxa"/>
              <w:start w:w="180" w:type="dxa"/>
              <w:bottom w:w="150" w:type="dxa"/>
              <w:end w:w="180" w:type="dxa"/>
            </w:tcMar>
          </w:tcPr>
          <w:p>
            <w:pPr>
              <w:spacing w:after="40"/>
            </w:pPr>
            <w:r/>
            <w:r>
              <w:rPr>
                <w:b/>
                <w:color w:val="102533"/>
                <w:sz w:val="20"/>
              </w:rPr>
              <w:t>Demo accuracy</w:t>
            </w:r>
          </w:p>
          <w:p>
            <w:pPr>
              <w:spacing w:after="0" w:line="252" w:lineRule="auto"/>
            </w:pPr>
            <w:r>
              <w:rPr>
                <w:color w:val="24333D"/>
                <w:sz w:val="19"/>
              </w:rPr>
              <w:t>The plan may include Docker rehearsal commands, but the backend does not currently execute those rehearsal commands. It also does not perform a clean-room replay, health-check a launched service or automatically roll back partial changes. Describe these as planned capabilities only if asked about future work.</w:t>
            </w:r>
          </w:p>
        </w:tc>
      </w:tr>
    </w:tbl>
    <w:p>
      <w:pPr>
        <w:spacing w:after="20"/>
      </w:pPr>
    </w:p>
    <w:p>
      <w:r>
        <w:br w:type="page"/>
      </w:r>
    </w:p>
    <w:p>
      <w:pPr>
        <w:pStyle w:val="Heading1"/>
        <w:keepNext/>
      </w:pPr>
      <w:r>
        <w:t>Dryrun workflow</w:t>
      </w:r>
    </w:p>
    <w:p>
      <w:pPr>
        <w:spacing w:after="160" w:line="259" w:lineRule="auto"/>
      </w:pPr>
      <w:r>
        <w:t>The diagram separates planning from execution. Inspection and plan generation happen first. The host workspace is created and supported host actions run only after the user approves the plan.</w:t>
      </w:r>
    </w:p>
    <w:tbl>
      <w:tblPr>
        <w:tblW w:type="auto" w:w="0"/>
        <w:tblLayout w:type="fixed"/>
        <w:tblLook w:firstColumn="1" w:firstRow="1" w:lastColumn="0" w:lastRow="0" w:noHBand="0" w:noVBand="1" w:val="04A0"/>
      </w:tblPr>
      <w:tblGrid>
        <w:gridCol w:w="9504"/>
      </w:tblGrid>
      <w:tr>
        <w:tc>
          <w:tcPr>
            <w:tcW w:type="dxa" w:w="9504"/>
            <w:shd w:fill="102533"/>
            <w:vAlign w:val="center"/>
            <w:tcMar>
              <w:top w:w="120" w:type="dxa"/>
              <w:start w:w="150" w:type="dxa"/>
              <w:bottom w:w="120" w:type="dxa"/>
              <w:end w:w="150" w:type="dxa"/>
            </w:tcMar>
          </w:tcPr>
          <w:p>
            <w:pPr>
              <w:spacing w:after="0" w:before="0"/>
              <w:jc w:val="center"/>
            </w:pPr>
            <w:r/>
            <w:r>
              <w:rPr>
                <w:rFonts w:ascii="Aptos" w:hAnsi="Aptos"/>
                <w:b/>
                <w:color w:val="FFFFFF"/>
                <w:sz w:val="20"/>
              </w:rPr>
              <w:t>START  •  User enters a GitHub repository URL and setup goal</w:t>
            </w:r>
          </w:p>
        </w:tc>
      </w:tr>
      <w:tr>
        <w:tc>
          <w:tcPr>
            <w:tcW w:type="dxa" w:w="9504"/>
            <w:vAlign w:val="center"/>
            <w:tcMar>
              <w:top w:w="10" w:type="dxa"/>
              <w:start w:w="150" w:type="dxa"/>
              <w:bottom w:w="10" w:type="dxa"/>
              <w:end w:w="150" w:type="dxa"/>
            </w:tcMar>
          </w:tcPr>
          <w:p>
            <w:pPr>
              <w:spacing w:after="0" w:before="0"/>
              <w:jc w:val="center"/>
            </w:pPr>
            <w:r/>
            <w:r>
              <w:rPr>
                <w:rFonts w:ascii="Aptos" w:hAnsi="Aptos"/>
                <w:b/>
                <w:color w:val="147D73"/>
                <w:sz w:val="28"/>
              </w:rPr>
              <w:t>↓</w:t>
            </w:r>
          </w:p>
        </w:tc>
      </w:tr>
      <w:tr>
        <w:tc>
          <w:tcPr>
            <w:tcW w:type="dxa" w:w="9504"/>
            <w:shd w:fill="F2F5F7"/>
            <w:vAlign w:val="center"/>
            <w:tcMar>
              <w:top w:w="120" w:type="dxa"/>
              <w:start w:w="150" w:type="dxa"/>
              <w:bottom w:w="120" w:type="dxa"/>
              <w:end w:w="150" w:type="dxa"/>
            </w:tcMar>
          </w:tcPr>
          <w:p>
            <w:pPr>
              <w:spacing w:after="0" w:before="0"/>
              <w:jc w:val="center"/>
            </w:pPr>
            <w:r/>
            <w:r>
              <w:rPr>
                <w:rFonts w:ascii="Aptos" w:hAnsi="Aptos"/>
                <w:b/>
                <w:color w:val="24333D"/>
                <w:sz w:val="20"/>
              </w:rPr>
              <w:t>VALIDATE  •  Check run ID and accept only a public HTTPS GitHub repository URL</w:t>
            </w:r>
          </w:p>
        </w:tc>
      </w:tr>
      <w:tr>
        <w:tc>
          <w:tcPr>
            <w:tcW w:type="dxa" w:w="9504"/>
            <w:vAlign w:val="center"/>
            <w:tcMar>
              <w:top w:w="10" w:type="dxa"/>
              <w:start w:w="150" w:type="dxa"/>
              <w:bottom w:w="10" w:type="dxa"/>
              <w:end w:w="150" w:type="dxa"/>
            </w:tcMar>
          </w:tcPr>
          <w:p>
            <w:pPr>
              <w:spacing w:after="0" w:before="0"/>
              <w:jc w:val="center"/>
            </w:pPr>
            <w:r/>
            <w:r>
              <w:rPr>
                <w:rFonts w:ascii="Aptos" w:hAnsi="Aptos"/>
                <w:b/>
                <w:color w:val="147D73"/>
                <w:sz w:val="28"/>
              </w:rPr>
              <w:t>↓</w:t>
            </w:r>
          </w:p>
        </w:tc>
      </w:tr>
      <w:tr>
        <w:tc>
          <w:tcPr>
            <w:tcW w:type="dxa" w:w="9504"/>
            <w:shd w:fill="EAF5F1"/>
            <w:vAlign w:val="center"/>
            <w:tcMar>
              <w:top w:w="120" w:type="dxa"/>
              <w:start w:w="150" w:type="dxa"/>
              <w:bottom w:w="120" w:type="dxa"/>
              <w:end w:w="150" w:type="dxa"/>
            </w:tcMar>
          </w:tcPr>
          <w:p>
            <w:pPr>
              <w:spacing w:after="0" w:before="0"/>
              <w:jc w:val="center"/>
            </w:pPr>
            <w:r/>
            <w:r>
              <w:rPr>
                <w:rFonts w:ascii="Aptos" w:hAnsi="Aptos"/>
                <w:b/>
                <w:color w:val="24333D"/>
                <w:sz w:val="20"/>
              </w:rPr>
              <w:t>INSPECT IN DOCKER  •  Clone the repository in a disposable sandbox and read selected setup files</w:t>
            </w:r>
          </w:p>
        </w:tc>
      </w:tr>
      <w:tr>
        <w:tc>
          <w:tcPr>
            <w:tcW w:type="dxa" w:w="9504"/>
            <w:vAlign w:val="center"/>
            <w:tcMar>
              <w:top w:w="10" w:type="dxa"/>
              <w:start w:w="150" w:type="dxa"/>
              <w:bottom w:w="10" w:type="dxa"/>
              <w:end w:w="150" w:type="dxa"/>
            </w:tcMar>
          </w:tcPr>
          <w:p>
            <w:pPr>
              <w:spacing w:after="0" w:before="0"/>
              <w:jc w:val="center"/>
            </w:pPr>
            <w:r/>
            <w:r>
              <w:rPr>
                <w:rFonts w:ascii="Aptos" w:hAnsi="Aptos"/>
                <w:b/>
                <w:color w:val="147D73"/>
                <w:sz w:val="28"/>
              </w:rPr>
              <w:t>↓</w:t>
            </w:r>
          </w:p>
        </w:tc>
      </w:tr>
      <w:tr>
        <w:tc>
          <w:tcPr>
            <w:tcW w:type="dxa" w:w="9504"/>
            <w:shd w:fill="EAF5F1"/>
            <w:vAlign w:val="center"/>
            <w:tcMar>
              <w:top w:w="120" w:type="dxa"/>
              <w:start w:w="150" w:type="dxa"/>
              <w:bottom w:w="120" w:type="dxa"/>
              <w:end w:w="150" w:type="dxa"/>
            </w:tcMar>
          </w:tcPr>
          <w:p>
            <w:pPr>
              <w:spacing w:after="0" w:before="0"/>
              <w:jc w:val="center"/>
            </w:pPr>
            <w:r/>
            <w:r>
              <w:rPr>
                <w:rFonts w:ascii="Aptos" w:hAnsi="Aptos"/>
                <w:b/>
                <w:color w:val="24333D"/>
                <w:sz w:val="20"/>
              </w:rPr>
              <w:t>GENERATE PLAN  •  LangGraph coordinates Groq planning; backend validates the structured plan</w:t>
            </w:r>
          </w:p>
        </w:tc>
      </w:tr>
      <w:tr>
        <w:tc>
          <w:tcPr>
            <w:tcW w:type="dxa" w:w="9504"/>
            <w:vAlign w:val="center"/>
            <w:tcMar>
              <w:top w:w="10" w:type="dxa"/>
              <w:start w:w="150" w:type="dxa"/>
              <w:bottom w:w="10" w:type="dxa"/>
              <w:end w:w="150" w:type="dxa"/>
            </w:tcMar>
          </w:tcPr>
          <w:p>
            <w:pPr>
              <w:spacing w:after="0" w:before="0"/>
              <w:jc w:val="center"/>
            </w:pPr>
            <w:r/>
            <w:r>
              <w:rPr>
                <w:rFonts w:ascii="Aptos" w:hAnsi="Aptos"/>
                <w:b/>
                <w:color w:val="147D73"/>
                <w:sz w:val="28"/>
              </w:rPr>
              <w:t>↓</w:t>
            </w:r>
          </w:p>
        </w:tc>
      </w:tr>
      <w:tr>
        <w:tc>
          <w:tcPr>
            <w:tcW w:type="dxa" w:w="9504"/>
            <w:shd w:fill="E2F0F8"/>
            <w:vAlign w:val="center"/>
            <w:tcMar>
              <w:top w:w="120" w:type="dxa"/>
              <w:start w:w="150" w:type="dxa"/>
              <w:bottom w:w="120" w:type="dxa"/>
              <w:end w:w="150" w:type="dxa"/>
            </w:tcMar>
          </w:tcPr>
          <w:p>
            <w:pPr>
              <w:spacing w:after="0" w:before="0"/>
              <w:jc w:val="center"/>
            </w:pPr>
            <w:r/>
            <w:r>
              <w:rPr>
                <w:rFonts w:ascii="Aptos" w:hAnsi="Aptos"/>
                <w:b/>
                <w:color w:val="102533"/>
                <w:sz w:val="20"/>
              </w:rPr>
              <w:t>HUMAN REVIEW  •  User reviews proposed actions and chooses whether to approve</w:t>
            </w:r>
          </w:p>
        </w:tc>
      </w:tr>
      <w:tr>
        <w:tc>
          <w:tcPr>
            <w:tcW w:type="dxa" w:w="9504"/>
            <w:vAlign w:val="center"/>
            <w:tcMar>
              <w:top w:w="10" w:type="dxa"/>
              <w:start w:w="150" w:type="dxa"/>
              <w:bottom w:w="10" w:type="dxa"/>
              <w:end w:w="150" w:type="dxa"/>
            </w:tcMar>
          </w:tcPr>
          <w:p>
            <w:pPr>
              <w:spacing w:after="0" w:before="0"/>
              <w:jc w:val="center"/>
            </w:pPr>
            <w:r/>
            <w:r>
              <w:rPr>
                <w:rFonts w:ascii="Aptos" w:hAnsi="Aptos"/>
                <w:b/>
                <w:color w:val="147D73"/>
                <w:sz w:val="28"/>
              </w:rPr>
              <w:t>↓  Approved path only</w:t>
            </w:r>
          </w:p>
        </w:tc>
      </w:tr>
      <w:tr>
        <w:tc>
          <w:tcPr>
            <w:tcW w:type="dxa" w:w="9504"/>
            <w:shd w:fill="EAF5F1"/>
            <w:vAlign w:val="center"/>
            <w:tcMar>
              <w:top w:w="120" w:type="dxa"/>
              <w:start w:w="150" w:type="dxa"/>
              <w:bottom w:w="120" w:type="dxa"/>
              <w:end w:w="150" w:type="dxa"/>
            </w:tcMar>
          </w:tcPr>
          <w:p>
            <w:pPr>
              <w:spacing w:after="0" w:before="0"/>
              <w:jc w:val="center"/>
            </w:pPr>
            <w:r/>
            <w:r>
              <w:rPr>
                <w:rFonts w:ascii="Aptos" w:hAnsi="Aptos"/>
                <w:b/>
                <w:color w:val="24333D"/>
                <w:sz w:val="20"/>
              </w:rPr>
              <w:t>APPLY APPROVED ACTIONS  •  Run supported typed actions in the run workspace; OS package installs remain manual</w:t>
            </w:r>
          </w:p>
        </w:tc>
      </w:tr>
      <w:tr>
        <w:tc>
          <w:tcPr>
            <w:tcW w:type="dxa" w:w="9504"/>
            <w:vAlign w:val="center"/>
            <w:tcMar>
              <w:top w:w="10" w:type="dxa"/>
              <w:start w:w="150" w:type="dxa"/>
              <w:bottom w:w="10" w:type="dxa"/>
              <w:end w:w="150" w:type="dxa"/>
            </w:tcMar>
          </w:tcPr>
          <w:p>
            <w:pPr>
              <w:spacing w:after="0" w:before="0"/>
              <w:jc w:val="center"/>
            </w:pPr>
            <w:r/>
            <w:r>
              <w:rPr>
                <w:rFonts w:ascii="Aptos" w:hAnsi="Aptos"/>
                <w:b/>
                <w:color w:val="147D73"/>
                <w:sz w:val="28"/>
              </w:rPr>
              <w:t>↓</w:t>
            </w:r>
          </w:p>
        </w:tc>
      </w:tr>
      <w:tr>
        <w:tc>
          <w:tcPr>
            <w:tcW w:type="dxa" w:w="9504"/>
            <w:shd w:fill="102533"/>
            <w:vAlign w:val="center"/>
            <w:tcMar>
              <w:top w:w="120" w:type="dxa"/>
              <w:start w:w="150" w:type="dxa"/>
              <w:bottom w:w="120" w:type="dxa"/>
              <w:end w:w="150" w:type="dxa"/>
            </w:tcMar>
          </w:tcPr>
          <w:p>
            <w:pPr>
              <w:spacing w:after="0" w:before="0"/>
              <w:jc w:val="center"/>
            </w:pPr>
            <w:r/>
            <w:r>
              <w:rPr>
                <w:rFonts w:ascii="Aptos" w:hAnsi="Aptos"/>
                <w:b/>
                <w:color w:val="FFFFFF"/>
                <w:sz w:val="20"/>
              </w:rPr>
              <w:t>REPORT  •  Show action results and workspace location; no health-check or rollback is claimed</w:t>
            </w:r>
          </w:p>
        </w:tc>
      </w:tr>
    </w:tbl>
    <w:tbl>
      <w:tblPr>
        <w:tblW w:type="auto" w:w="0"/>
        <w:tblLayout w:type="fixed"/>
        <w:tblLook w:firstColumn="1" w:firstRow="1" w:lastColumn="0" w:lastRow="0" w:noHBand="0" w:noVBand="1" w:val="04A0"/>
      </w:tblPr>
      <w:tblGrid>
        <w:gridCol w:w="4608"/>
        <w:gridCol w:w="4608"/>
      </w:tblGrid>
      <w:tr>
        <w:tc>
          <w:tcPr>
            <w:tcW w:type="dxa" w:w="4997"/>
            <w:shd w:fill="FCE9E8"/>
            <w:vAlign w:val="center"/>
            <w:tcMar>
              <w:top w:w="145" w:type="dxa"/>
              <w:start w:w="150" w:type="dxa"/>
              <w:bottom w:w="145" w:type="dxa"/>
              <w:end w:w="150" w:type="dxa"/>
            </w:tcMar>
          </w:tcPr>
          <w:p>
            <w:pPr>
              <w:spacing w:after="0" w:before="0"/>
              <w:jc w:val="center"/>
            </w:pPr>
            <w:r/>
            <w:r>
              <w:rPr>
                <w:rFonts w:ascii="Aptos" w:hAnsi="Aptos"/>
                <w:b/>
                <w:color w:val="24333D"/>
                <w:sz w:val="19"/>
              </w:rPr>
              <w:t>NO  →  Mark as rejected</w:t>
              <w:br/>
              <w:t>No host actions run</w:t>
            </w:r>
          </w:p>
        </w:tc>
        <w:tc>
          <w:tcPr>
            <w:tcW w:type="dxa" w:w="4997"/>
            <w:shd w:fill="EAF5F1"/>
            <w:vAlign w:val="center"/>
            <w:tcMar>
              <w:top w:w="145" w:type="dxa"/>
              <w:start w:w="150" w:type="dxa"/>
              <w:bottom w:w="145" w:type="dxa"/>
              <w:end w:w="150" w:type="dxa"/>
            </w:tcMar>
          </w:tcPr>
          <w:p>
            <w:pPr>
              <w:spacing w:after="0" w:before="0"/>
              <w:jc w:val="center"/>
            </w:pPr>
            <w:r/>
            <w:r>
              <w:rPr>
                <w:rFonts w:ascii="Aptos" w:hAnsi="Aptos"/>
                <w:b/>
                <w:color w:val="24333D"/>
                <w:sz w:val="19"/>
              </w:rPr>
              <w:t>YES  →  Create a per-run workspace</w:t>
              <w:br/>
              <w:t>Clone the repository after approval</w:t>
            </w:r>
          </w:p>
        </w:tc>
      </w:tr>
    </w:tbl>
    <w:p>
      <w:pPr>
        <w:spacing w:after="0" w:line="259" w:lineRule="auto"/>
      </w:pPr>
      <w:r>
        <w:t>Architecture in one line: React and Vite provide the interface; FastAPI exposes the run and approval endpoints; LangGraph coordinates the workflow; LangChain connects Groq and the local MCP servers; Docker contains repository inspection; the host MCP server enforces approved workspace operations.</w:t>
      </w:r>
    </w:p>
    <w:p>
      <w:r>
        <w:br w:type="page"/>
      </w:r>
    </w:p>
    <w:p>
      <w:pPr>
        <w:pStyle w:val="Heading1"/>
        <w:keepNext/>
      </w:pPr>
      <w:r>
        <w:t>Presenter script</w:t>
      </w:r>
    </w:p>
    <w:p>
      <w:pPr>
        <w:spacing w:after="160" w:line="259" w:lineRule="auto"/>
      </w:pPr>
      <w:r>
        <w:t>Use this talk track for a three to four minute demo. Replace bracketed cues with the action you perform on screen. Keep the approval decision visible to the audience.</w:t>
      </w:r>
    </w:p>
    <w:p>
      <w:pPr>
        <w:pStyle w:val="Heading2"/>
        <w:keepNext/>
      </w:pPr>
      <w:r>
        <w:t>Opening</w:t>
      </w:r>
    </w:p>
    <w:p>
      <w:pPr>
        <w:spacing w:after="120" w:line="259" w:lineRule="auto"/>
      </w:pPr>
      <w:r>
        <w:t>“Hi, I’m presenting Dryrun. Setting up a new code repository usually takes manual investigation: we read the README, identify dependencies, and try setup commands. That work can be confusing, and running unknown setup steps directly on a developer’s machine can be risky. Dryrun aims to make the process visible and approval-driven.”</w:t>
      </w:r>
    </w:p>
    <w:p>
      <w:pPr>
        <w:pStyle w:val="Heading2"/>
        <w:keepNext/>
      </w:pPr>
      <w:r>
        <w:t>Explain the workflow</w:t>
      </w:r>
    </w:p>
    <w:p>
      <w:pPr>
        <w:spacing w:after="120" w:line="259" w:lineRule="auto"/>
      </w:pPr>
      <w:r>
        <w:t>“I give Dryrun a public GitHub repository and a setup goal. It first validates the repository link and inspects selected setup files inside a disposable Docker sandbox. LangGraph coordinates the stages, and Groq generates a structured plan from the evidence. Repository content is treated as data, so text inside a README cannot approve actions or change Dryrun’s rules.”</w:t>
      </w:r>
    </w:p>
    <w:p>
      <w:pPr>
        <w:pStyle w:val="Heading2"/>
        <w:keepNext/>
      </w:pPr>
      <w:r>
        <w:t>Run the demo</w:t>
      </w:r>
    </w:p>
    <w:p>
      <w:pPr>
        <w:pStyle w:val="ListBullet"/>
        <w:spacing w:after="60"/>
      </w:pPr>
      <w:r>
        <w:rPr>
          <w:b/>
        </w:rPr>
        <w:t xml:space="preserve">1  Submit. </w:t>
      </w:r>
      <w:r>
        <w:t>On the New rehearsal page, paste the demo repository URL and enter a short goal such as ‘Find the minimum steps needed to install and start this project.’ Click Analyze.</w:t>
      </w:r>
    </w:p>
    <w:p>
      <w:pPr>
        <w:pStyle w:val="ListBullet"/>
        <w:spacing w:after="60"/>
      </w:pPr>
      <w:r>
        <w:rPr>
          <w:b/>
        </w:rPr>
        <w:t xml:space="preserve">2  Review. </w:t>
      </w:r>
      <w:r>
        <w:t>Show the detected stack, evidence and proposed actions. Point out that the plan is a proposal and that the UI waits for approval.</w:t>
      </w:r>
    </w:p>
    <w:p>
      <w:pPr>
        <w:pStyle w:val="ListBullet"/>
        <w:spacing w:after="60"/>
      </w:pPr>
      <w:r>
        <w:rPr>
          <w:b/>
        </w:rPr>
        <w:t xml:space="preserve">3  Approve or reject. </w:t>
      </w:r>
      <w:r>
        <w:t>For the live run, approve only the actions you intend to demonstrate. Explain that rejecting the plan stops before host actions. On approval, Dryrun creates the run workspace and clones the repository there.</w:t>
      </w:r>
    </w:p>
    <w:p>
      <w:pPr>
        <w:pStyle w:val="ListBullet"/>
        <w:spacing w:after="60"/>
      </w:pPr>
      <w:r>
        <w:rPr>
          <w:b/>
        </w:rPr>
        <w:t xml:space="preserve">4  Show results. </w:t>
      </w:r>
      <w:r>
        <w:t>Open the action record and workspace path. Explain that Dryrun reports whether supported actions succeeded; it does not claim the application is healthy unless a health check has actually been implemented and run.</w:t>
      </w:r>
    </w:p>
    <w:p>
      <w:pPr>
        <w:pStyle w:val="Heading2"/>
        <w:keepNext/>
      </w:pPr>
      <w:r>
        <w:t>Closing</w:t>
      </w:r>
    </w:p>
    <w:p>
      <w:pPr>
        <w:spacing w:after="120" w:line="259" w:lineRule="auto"/>
      </w:pPr>
      <w:r>
        <w:t>“The key idea is that Dryrun separates inspection and planning from approved changes. It provides a review point, scopes supported file and package operations to a per-run workspace, and leaves operating-system package installs to the user. The current demo does not yet execute the listed Docker rehearsal commands, replay setup in a clean room, health-check services or automatically roll back changes. Those are clear next steps for the product.”</w:t>
      </w:r>
    </w:p>
    <w:p>
      <w:pPr>
        <w:pStyle w:val="Heading2"/>
        <w:keepNext/>
      </w:pPr>
      <w:r>
        <w:t>If the live API is unavailable</w:t>
      </w:r>
    </w:p>
    <w:p>
      <w:pPr>
        <w:spacing w:after="120" w:line="259" w:lineRule="auto"/>
      </w:pPr>
      <w:r>
        <w:t>“The interface depends on the backend and external model access, so a live request can fail if either service is unavailable. I can still explain the workflow with the diagram and show the previously captured UI or screenshots, while being clear that this is a visual walkthrough rather than a successful live run.”</w:t>
      </w:r>
    </w:p>
    <w:p>
      <w:pPr>
        <w:pStyle w:val="Heading2"/>
        <w:keepNext/>
      </w:pPr>
      <w:r>
        <w:t>Quick technical cues</w:t>
      </w:r>
    </w:p>
    <w:tbl>
      <w:tblPr>
        <w:tblW w:type="auto" w:w="0"/>
        <w:tblLayout w:type="fixed"/>
        <w:tblLook w:firstColumn="1" w:firstRow="1" w:lastColumn="0" w:lastRow="0" w:noHBand="0" w:noVBand="1" w:val="04A0"/>
      </w:tblPr>
      <w:tblGrid>
        <w:gridCol w:w="2376"/>
        <w:gridCol w:w="7128"/>
      </w:tblGrid>
      <w:tr>
        <w:tc>
          <w:tcPr>
            <w:tcW w:type="dxa" w:w="4997"/>
            <w:shd w:fill="102533"/>
            <w:vAlign w:val="center"/>
            <w:tcMar>
              <w:top w:w="120" w:type="dxa"/>
              <w:start w:w="150" w:type="dxa"/>
              <w:bottom w:w="120" w:type="dxa"/>
              <w:end w:w="150" w:type="dxa"/>
            </w:tcMar>
          </w:tcPr>
          <w:p>
            <w:pPr>
              <w:spacing w:after="0" w:before="0"/>
              <w:jc w:val="left"/>
            </w:pPr>
            <w:r/>
            <w:r>
              <w:rPr>
                <w:rFonts w:ascii="Aptos" w:hAnsi="Aptos"/>
                <w:b/>
                <w:color w:val="FFFFFF"/>
                <w:sz w:val="18"/>
              </w:rPr>
              <w:t>Model key</w:t>
            </w:r>
          </w:p>
        </w:tc>
        <w:tc>
          <w:tcPr>
            <w:tcW w:type="dxa" w:w="4997"/>
            <w:shd w:fill="F2F5F7"/>
            <w:vAlign w:val="center"/>
            <w:tcMar>
              <w:top w:w="120" w:type="dxa"/>
              <w:start w:w="150" w:type="dxa"/>
              <w:bottom w:w="120" w:type="dxa"/>
              <w:end w:w="150" w:type="dxa"/>
            </w:tcMar>
          </w:tcPr>
          <w:p>
            <w:pPr>
              <w:spacing w:after="0" w:before="0"/>
              <w:jc w:val="left"/>
            </w:pPr>
            <w:r/>
            <w:r>
              <w:rPr>
                <w:rFonts w:ascii="Aptos" w:hAnsi="Aptos"/>
                <w:b w:val="0"/>
                <w:color w:val="24333D"/>
                <w:sz w:val="18"/>
              </w:rPr>
              <w:t>Keep GROQ_API_KEY in the backend project-root .env; never put it in a Vite frontend env file.</w:t>
            </w:r>
          </w:p>
        </w:tc>
      </w:tr>
      <w:tr>
        <w:tc>
          <w:tcPr>
            <w:tcW w:type="dxa" w:w="2376"/>
            <w:shd w:fill="102533"/>
            <w:vAlign w:val="center"/>
            <w:tcMar>
              <w:top w:w="120" w:type="dxa"/>
              <w:start w:w="150" w:type="dxa"/>
              <w:bottom w:w="120" w:type="dxa"/>
              <w:end w:w="150" w:type="dxa"/>
            </w:tcMar>
          </w:tcPr>
          <w:p>
            <w:pPr>
              <w:spacing w:after="0" w:before="0"/>
              <w:jc w:val="left"/>
            </w:pPr>
            <w:r/>
            <w:r>
              <w:rPr>
                <w:rFonts w:ascii="Aptos" w:hAnsi="Aptos"/>
                <w:b/>
                <w:color w:val="FFFFFF"/>
                <w:sz w:val="18"/>
              </w:rPr>
              <w:t>Backend</w:t>
            </w:r>
          </w:p>
        </w:tc>
        <w:tc>
          <w:tcPr>
            <w:tcW w:type="dxa" w:w="7128"/>
            <w:shd w:fill="F2F5F7"/>
            <w:vAlign w:val="center"/>
            <w:tcMar>
              <w:top w:w="120" w:type="dxa"/>
              <w:start w:w="150" w:type="dxa"/>
              <w:bottom w:w="120" w:type="dxa"/>
              <w:end w:w="150" w:type="dxa"/>
            </w:tcMar>
          </w:tcPr>
          <w:p>
            <w:pPr>
              <w:spacing w:after="0" w:before="0"/>
              <w:jc w:val="left"/>
            </w:pPr>
            <w:r/>
            <w:r>
              <w:rPr>
                <w:rFonts w:ascii="Aptos" w:hAnsi="Aptos"/>
                <w:b w:val="0"/>
                <w:color w:val="24333D"/>
                <w:sz w:val="18"/>
              </w:rPr>
              <w:t>Start from the project root with: py -m uvicorn backend.app:app --reload</w:t>
            </w:r>
          </w:p>
        </w:tc>
      </w:tr>
      <w:tr>
        <w:tc>
          <w:tcPr>
            <w:tcW w:type="dxa" w:w="2376"/>
            <w:shd w:fill="102533"/>
            <w:vAlign w:val="center"/>
            <w:tcMar>
              <w:top w:w="120" w:type="dxa"/>
              <w:start w:w="150" w:type="dxa"/>
              <w:bottom w:w="120" w:type="dxa"/>
              <w:end w:w="150" w:type="dxa"/>
            </w:tcMar>
          </w:tcPr>
          <w:p>
            <w:pPr>
              <w:spacing w:after="0" w:before="0"/>
              <w:jc w:val="left"/>
            </w:pPr>
            <w:r/>
            <w:r>
              <w:rPr>
                <w:rFonts w:ascii="Aptos" w:hAnsi="Aptos"/>
                <w:b/>
                <w:color w:val="FFFFFF"/>
                <w:sz w:val="18"/>
              </w:rPr>
              <w:t>Frontend</w:t>
            </w:r>
          </w:p>
        </w:tc>
        <w:tc>
          <w:tcPr>
            <w:tcW w:type="dxa" w:w="7128"/>
            <w:shd w:fill="F2F5F7"/>
            <w:vAlign w:val="center"/>
            <w:tcMar>
              <w:top w:w="120" w:type="dxa"/>
              <w:start w:w="150" w:type="dxa"/>
              <w:bottom w:w="120" w:type="dxa"/>
              <w:end w:w="150" w:type="dxa"/>
            </w:tcMar>
          </w:tcPr>
          <w:p>
            <w:pPr>
              <w:spacing w:after="0" w:before="0"/>
              <w:jc w:val="left"/>
            </w:pPr>
            <w:r/>
            <w:r>
              <w:rPr>
                <w:rFonts w:ascii="Aptos" w:hAnsi="Aptos"/>
                <w:b w:val="0"/>
                <w:color w:val="24333D"/>
                <w:sz w:val="18"/>
              </w:rPr>
              <w:t>Start from frontend with: npm run dev</w:t>
            </w:r>
          </w:p>
        </w:tc>
      </w:tr>
      <w:tr>
        <w:tc>
          <w:tcPr>
            <w:tcW w:type="dxa" w:w="2376"/>
            <w:shd w:fill="102533"/>
            <w:vAlign w:val="center"/>
            <w:tcMar>
              <w:top w:w="120" w:type="dxa"/>
              <w:start w:w="150" w:type="dxa"/>
              <w:bottom w:w="120" w:type="dxa"/>
              <w:end w:w="150" w:type="dxa"/>
            </w:tcMar>
          </w:tcPr>
          <w:p>
            <w:pPr>
              <w:spacing w:after="0" w:before="0"/>
              <w:jc w:val="left"/>
            </w:pPr>
            <w:r/>
            <w:r>
              <w:rPr>
                <w:rFonts w:ascii="Aptos" w:hAnsi="Aptos"/>
                <w:b/>
                <w:color w:val="FFFFFF"/>
                <w:sz w:val="18"/>
              </w:rPr>
              <w:t>Approval</w:t>
            </w:r>
          </w:p>
        </w:tc>
        <w:tc>
          <w:tcPr>
            <w:tcW w:type="dxa" w:w="7128"/>
            <w:shd w:fill="F2F5F7"/>
            <w:vAlign w:val="center"/>
            <w:tcMar>
              <w:top w:w="120" w:type="dxa"/>
              <w:start w:w="150" w:type="dxa"/>
              <w:bottom w:w="120" w:type="dxa"/>
              <w:end w:w="150" w:type="dxa"/>
            </w:tcMar>
          </w:tcPr>
          <w:p>
            <w:pPr>
              <w:spacing w:after="0" w:before="0"/>
              <w:jc w:val="left"/>
            </w:pPr>
            <w:r/>
            <w:r>
              <w:rPr>
                <w:rFonts w:ascii="Aptos" w:hAnsi="Aptos"/>
                <w:b w:val="0"/>
                <w:color w:val="24333D"/>
                <w:sz w:val="18"/>
              </w:rPr>
              <w:t>Do not approve unfamiliar actions just to make the demo look successful.</w:t>
            </w:r>
          </w:p>
        </w:tc>
      </w:tr>
    </w:tbl>
    <w:sectPr w:rsidR="00FC693F" w:rsidRPr="0006063C" w:rsidSect="00034616">
      <w:headerReference w:type="default" r:id="rId9"/>
      <w:footerReference w:type="default" r:id="rId10"/>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B76"/>
        <w:sz w:val="16"/>
      </w:rPr>
      <w:t>Dryrun demo guide  •  Product behavior described as currently implemented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7D73"/>
        <w:sz w:val="16"/>
      </w:rPr>
      <w:t>DRYRUN  /  PROJECT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3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5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47D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5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Dryrun Project Demo Guide</dc:title>
  <dc:subject>Project overview, workflow diagram and presenter script</dc:subject>
  <dc:creator>Dryrun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