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90" w:line="348" w:lineRule="auto"/>
      </w:pPr>
      <w:r>
        <w:rPr>
          <w:sz w:val="22"/>
          <w:szCs w:val="22"/>
        </w:rPr>
        <w:t xml:space="preserve">FICTIONAL SAMPLE TRANSLATION</w:t>
      </w:r>
    </w:p>
    <w:p>
      <w:pPr>
        <w:spacing w:before="0" w:after="90" w:line="348" w:lineRule="auto"/>
      </w:pPr>
      <w:r>
        <w:rPr>
          <w:sz w:val="22"/>
          <w:szCs w:val="22"/>
        </w:rPr>
        <w:t xml:space="preserve">(Front)</w:t>
      </w:r>
    </w:p>
    <w:tbl>
      <w:tblPr>
        <w:tblW w:w="90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Layla Samir Nassar</w:t>
            </w:r>
          </w:p>
        </w:tc>
      </w:tr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Date of birth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/>
            </w:r>
            <w:r>
              <w:rPr>
                <w:sz w:val="22"/>
                <w:szCs w:val="22"/>
              </w:rPr>
              <w:t xml:space="preserve">18.09.1994</w:t>
            </w: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240" w:after="90" w:line="348" w:lineRule="auto"/>
      </w:pPr>
      <w:r>
        <w:rPr>
          <w:sz w:val="22"/>
          <w:szCs w:val="22"/>
        </w:rPr>
        <w:t xml:space="preserve">Document number: FQ-DEMO-2048</w:t>
      </w:r>
    </w:p>
    <w:tbl>
      <w:tblPr>
        <w:tblW w:w="9072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47"/>
        <w:gridCol w:w="5625"/>
      </w:tblGrid>
      <w:tr>
        <w:trPr>
          <w:cantSplit/>
        </w:trPr>
        <w:tc>
          <w:tcPr>
            <w:tcW w:w="3447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Features</w:t>
            </w:r>
          </w:p>
        </w:tc>
        <w:tc>
          <w:tcPr>
            <w:tcW w:w="5625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No distinguishing features</w:t>
            </w:r>
          </w:p>
        </w:tc>
      </w:tr>
    </w:tbl>
    <w:p>
      <w:pPr>
        <w:spacing w:before="160" w:after="90" w:line="348" w:lineRule="auto"/>
      </w:pPr>
      <w:r>
        <w:rPr>
          <w:sz w:val="22"/>
          <w:szCs w:val="22"/>
        </w:rPr>
        <w:t xml:space="preserve">(Back)</w:t>
      </w:r>
    </w:p>
    <w:tbl>
      <w:tblPr>
        <w:tblW w:w="3424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nil" w:sz="4" w:color="000000"/>
          <w:insideV w:val="single" w:sz="4" w:color="000000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424"/>
      </w:tblGrid>
      <w:tr>
        <w:trPr>
          <w:cantSplit/>
        </w:trPr>
        <w:tc>
          <w:tcPr>
            <w:tcW w:w="3424" w:type="dxa"/>
          </w:tcPr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Fictional demo authority</w:t>
            </w:r>
          </w:p>
          <w:p>
            <w:pPr>
              <w:spacing w:before="0" w:after="0" w:line="348" w:lineRule="auto"/>
            </w:pPr>
            <w:r>
              <w:rPr>
                <w:sz w:val="22"/>
                <w:szCs w:val="22"/>
              </w:rPr>
              <w:t xml:space="preserve">[Unterschrift: unleserlich]</w:t>
            </w:r>
          </w:p>
        </w:tc>
      </w:tr>
    </w:tbl>
    <w:sectPr>
      <w:pgSz w:w="11906" w:h="16838"/>
      <w:headerReference w:type="default" r:id="rId2"/>
      <w:footerReference w:type="default" r:id="rId3"/>
      <w:pgMar w:top="1417" w:right="1417" w:bottom="1417" w:left="1417" w:header="500" w:footer="5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fldChar w:fldCharType="begin"/>
    </w:r>
    <w:r>
      <w:rPr>
        <w:sz w:val="16"/>
      </w:rPr>
      <w:instrText> PAGE </w:instrText>
    </w:r>
    <w:r>
      <w:rPr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before="0" w:after="0" w:line="348" w:lineRule="auto"/>
    </w:pPr>
    <w:r>
      <w:rPr>
        <w:sz w:val="22"/>
        <w:szCs w:val="22"/>
        <w:b/>
        <w:bCs/>
      </w:rPr>
      <w:t xml:space="preserve">Certified translation from Arabic into English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2"/>
        <w:szCs w:val="22"/>
        <w:color w:val="000000"/>
        <w:lang w:val="de-AT" w:bidi="ar-SA"/>
      </w:rPr>
    </w:rPrDefault>
  </w:docDefaults>
  <w:style w:type="paragraph" w:default="1" w:styleId="Normal">
    <w:name w:val="Normal"/>
    <w:rPr>
      <w:rFonts w:ascii="Aptos" w:hAnsi="Aptos" w:eastAsia="Aptos" w:cs="Aptos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