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90" w:line="348" w:lineRule="auto"/>
      </w:pPr>
      <w:r>
        <w:rPr>
          <w:sz w:val="22"/>
          <w:szCs w:val="22"/>
        </w:rPr>
        <w:t xml:space="preserve">FIKTIVES MUSTERDOKUMENT</w:t>
      </w:r>
    </w:p>
    <w:p>
      <w:pPr>
        <w:jc w:val="right"/>
        <w:spacing w:before="0" w:after="200" w:line="348" w:lineRule="auto"/>
      </w:pPr>
      <w:r>
        <w:rPr>
          <w:sz w:val="22"/>
          <w:szCs w:val="22"/>
          <w:i/>
          <w:iCs/>
        </w:rPr>
        <w:t xml:space="preserve">(Vorderseite)</w:t>
      </w:r>
    </w:p>
    <w:tbl>
      <w:tblPr>
        <w:tblW w:w="907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47"/>
        <w:gridCol w:w="5625"/>
      </w:tblGrid>
      <w:tr>
        <w:trPr>
          <w:cantSplit/>
        </w:trPr>
        <w:tc>
          <w:tcPr>
            <w:tcW w:w="3447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tcW w:w="5625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Leila Samir Nassar</w:t>
            </w:r>
          </w:p>
        </w:tc>
      </w:tr>
      <w:tr>
        <w:trPr>
          <w:cantSplit/>
        </w:trPr>
        <w:tc>
          <w:tcPr>
            <w:tcW w:w="3447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Geburtsdatum</w:t>
            </w:r>
          </w:p>
        </w:tc>
        <w:tc>
          <w:tcPr>
            <w:tcW w:w="5625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/>
            </w:r>
            <w:r>
              <w:rPr>
                <w:sz w:val="22"/>
                <w:szCs w:val="22"/>
              </w:rPr>
              <w:t xml:space="preserve">18.09.1994</w:t>
            </w: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240" w:after="90" w:line="348" w:lineRule="auto"/>
      </w:pPr>
      <w:r>
        <w:rPr>
          <w:sz w:val="22"/>
          <w:szCs w:val="22"/>
        </w:rPr>
        <w:t xml:space="preserve">Dokumentnummer: FQ-DEMO-2048</w:t>
      </w:r>
    </w:p>
    <w:tbl>
      <w:tblPr>
        <w:tblW w:w="907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47"/>
        <w:gridCol w:w="5625"/>
      </w:tblGrid>
      <w:tr>
        <w:trPr>
          <w:cantSplit/>
        </w:trPr>
        <w:tc>
          <w:tcPr>
            <w:tcW w:w="3447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Merkmale</w:t>
            </w:r>
          </w:p>
        </w:tc>
        <w:tc>
          <w:tcPr>
            <w:tcW w:w="5625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keine besonderen Merkmale</w:t>
            </w:r>
          </w:p>
        </w:tc>
      </w:tr>
    </w:tbl>
    <w:p>
      <w:pPr>
        <w:jc w:val="right"/>
        <w:spacing w:before="160" w:after="200" w:line="348" w:lineRule="auto"/>
      </w:pPr>
      <w:r>
        <w:rPr>
          <w:sz w:val="22"/>
          <w:szCs w:val="22"/>
          <w:i/>
          <w:iCs/>
        </w:rPr>
        <w:t xml:space="preserve">(Rückseite)</w:t>
      </w:r>
    </w:p>
    <w:tbl>
      <w:tblPr>
        <w:tblW w:w="3424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nil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24"/>
      </w:tblGrid>
      <w:tr>
        <w:trPr>
          <w:cantSplit/>
        </w:trPr>
        <w:tc>
          <w:tcPr>
            <w:tcW w:w="3424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Fiktive Demo-Behörde</w:t>
            </w:r>
          </w:p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[Unterschrift: unleserlich]</w:t>
            </w:r>
          </w:p>
        </w:tc>
      </w:tr>
    </w:tbl>
    <w:sectPr>
      <w:pgSz w:w="11906" w:h="16838"/>
      <w:headerReference w:type="default" r:id="rId2"/>
      <w:footerReference w:type="default" r:id="rId3"/>
      <w:pgMar w:top="1417" w:right="1417" w:bottom="1417" w:left="1417" w:header="500" w:footer="5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fldChar w:fldCharType="begin"/>
    </w:r>
    <w:r>
      <w:rPr>
        <w:sz w:val="16"/>
      </w:rPr>
      <w:instrText> PAGE </w:instrText>
    </w:r>
    <w:r>
      <w:rPr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before="0" w:after="0" w:line="348" w:lineRule="auto"/>
    </w:pPr>
    <w:r>
      <w:rPr>
        <w:sz w:val="22"/>
        <w:szCs w:val="22"/>
        <w:b/>
        <w:bCs/>
      </w:rPr>
      <w:t xml:space="preserve">Beglaubigte Übersetzung aus dem Englischen ins Deutsche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2"/>
        <w:szCs w:val="22"/>
        <w:color w:val="000000"/>
        <w:lang w:val="de-AT" w:bidi="ar-SA"/>
      </w:rPr>
    </w:rPrDefault>
  </w:docDefaults>
  <w:style w:type="paragraph" w:default="1" w:styleId="Normal">
    <w:name w:val="Normal"/>
    <w:rPr>
      <w:rFonts w:ascii="Aptos" w:hAnsi="Aptos" w:eastAsia="Aptos" w:cs="Aptos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