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52"/>
        </w:rPr>
        <w:t>Supermarket Sales Analysis</w:t>
      </w:r>
    </w:p>
    <w:p>
      <w:pPr>
        <w:jc w:val="center"/>
      </w:pPr>
      <w:r>
        <w:rPr>
          <w:color w:val="64748B"/>
          <w:sz w:val="28"/>
        </w:rPr>
        <w:t>Business Insights Report</w:t>
      </w:r>
    </w:p>
    <w:p>
      <w:pPr>
        <w:jc w:val="center"/>
      </w:pPr>
      <w:r>
        <w:rPr>
          <w:i/>
          <w:color w:val="94A3B8"/>
          <w:sz w:val="22"/>
        </w:rPr>
        <w:t>Generated: September 20, 2026</w:t>
      </w:r>
    </w:p>
    <w:p/>
    <w:p>
      <w:pPr>
        <w:pStyle w:val="Heading1"/>
        <w:jc w:val="left"/>
      </w:pPr>
      <w:r>
        <w:rPr>
          <w:color w:val="1E293B"/>
        </w:rPr>
        <w:t>1. Project Overview</w:t>
      </w:r>
    </w:p>
    <w:p>
      <w:r>
        <w:rPr>
          <w:b w:val="0"/>
          <w:i w:val="0"/>
          <w:sz w:val="22"/>
        </w:rPr>
        <w:t>This report summarises the analysis of 500 supermarket transactions recorded across four Indian cities (Jaipur, Delhi, Mumbai, Bengaluru) between January and July 2026. The goal is to derive actionable business insights covering product performance, branch revenue, customer behaviour, and payment preferences.</w:t>
      </w:r>
    </w:p>
    <w:p>
      <w:pPr>
        <w:pStyle w:val="Heading1"/>
        <w:jc w:val="left"/>
      </w:pPr>
      <w:r>
        <w:rPr>
          <w:color w:val="1E293B"/>
        </w:rPr>
        <w:t>2. Dataset Summary</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2563EB"/>
          </w:tcPr>
          <w:p>
            <w:pPr>
              <w:jc w:val="center"/>
            </w:pPr>
            <w:r>
              <w:rPr>
                <w:b/>
                <w:color w:val="FFFFFF"/>
                <w:sz w:val="20"/>
              </w:rPr>
              <w:t>Field</w:t>
            </w:r>
          </w:p>
        </w:tc>
        <w:tc>
          <w:tcPr>
            <w:tcW w:type="dxa" w:w="4536"/>
            <w:shd w:val="clear" w:color="auto" w:fill="2563EB"/>
          </w:tcPr>
          <w:p>
            <w:pPr>
              <w:jc w:val="center"/>
            </w:pPr>
            <w:r>
              <w:rPr>
                <w:b/>
                <w:color w:val="FFFFFF"/>
                <w:sz w:val="20"/>
              </w:rPr>
              <w:t>Details</w:t>
            </w:r>
          </w:p>
        </w:tc>
      </w:tr>
      <w:tr>
        <w:tc>
          <w:tcPr>
            <w:tcW w:type="dxa" w:w="4536"/>
            <w:shd w:val="clear" w:color="auto" w:fill="EFF6FF"/>
          </w:tcPr>
          <w:p>
            <w:r>
              <w:rPr>
                <w:sz w:val="19"/>
              </w:rPr>
              <w:t>File</w:t>
            </w:r>
          </w:p>
        </w:tc>
        <w:tc>
          <w:tcPr>
            <w:tcW w:type="dxa" w:w="4536"/>
            <w:shd w:val="clear" w:color="auto" w:fill="EFF6FF"/>
          </w:tcPr>
          <w:p>
            <w:r>
              <w:rPr>
                <w:sz w:val="19"/>
              </w:rPr>
              <w:t>Supermarket-data.csv</w:t>
            </w:r>
          </w:p>
        </w:tc>
      </w:tr>
      <w:tr>
        <w:tc>
          <w:tcPr>
            <w:tcW w:type="dxa" w:w="4536"/>
          </w:tcPr>
          <w:p>
            <w:r>
              <w:rPr>
                <w:sz w:val="19"/>
              </w:rPr>
              <w:t>Total Rows</w:t>
            </w:r>
          </w:p>
        </w:tc>
        <w:tc>
          <w:tcPr>
            <w:tcW w:type="dxa" w:w="4536"/>
          </w:tcPr>
          <w:p>
            <w:r>
              <w:rPr>
                <w:sz w:val="19"/>
              </w:rPr>
              <w:t>500 transactions</w:t>
            </w:r>
          </w:p>
        </w:tc>
      </w:tr>
      <w:tr>
        <w:tc>
          <w:tcPr>
            <w:tcW w:type="dxa" w:w="4536"/>
            <w:shd w:val="clear" w:color="auto" w:fill="EFF6FF"/>
          </w:tcPr>
          <w:p>
            <w:r>
              <w:rPr>
                <w:sz w:val="19"/>
              </w:rPr>
              <w:t>Columns</w:t>
            </w:r>
          </w:p>
        </w:tc>
        <w:tc>
          <w:tcPr>
            <w:tcW w:type="dxa" w:w="4536"/>
            <w:shd w:val="clear" w:color="auto" w:fill="EFF6FF"/>
          </w:tcPr>
          <w:p>
            <w:r>
              <w:rPr>
                <w:sz w:val="19"/>
              </w:rPr>
              <w:t>13 (Invoice ID, Date, Branch, City, Customer Type, Gender, Product, Category, Quantity, Unit Price, Payment, Rating, Sales)</w:t>
            </w:r>
          </w:p>
        </w:tc>
      </w:tr>
      <w:tr>
        <w:tc>
          <w:tcPr>
            <w:tcW w:type="dxa" w:w="4536"/>
          </w:tcPr>
          <w:p>
            <w:r>
              <w:rPr>
                <w:sz w:val="19"/>
              </w:rPr>
              <w:t>Branches</w:t>
            </w:r>
          </w:p>
        </w:tc>
        <w:tc>
          <w:tcPr>
            <w:tcW w:type="dxa" w:w="4536"/>
          </w:tcPr>
          <w:p>
            <w:r>
              <w:rPr>
                <w:sz w:val="19"/>
              </w:rPr>
              <w:t>A – Jaipur, B – Delhi, C – Mumbai, D – Bengaluru</w:t>
            </w:r>
          </w:p>
        </w:tc>
      </w:tr>
      <w:tr>
        <w:tc>
          <w:tcPr>
            <w:tcW w:type="dxa" w:w="4536"/>
            <w:shd w:val="clear" w:color="auto" w:fill="EFF6FF"/>
          </w:tcPr>
          <w:p>
            <w:r>
              <w:rPr>
                <w:sz w:val="19"/>
              </w:rPr>
              <w:t>Date Range</w:t>
            </w:r>
          </w:p>
        </w:tc>
        <w:tc>
          <w:tcPr>
            <w:tcW w:type="dxa" w:w="4536"/>
            <w:shd w:val="clear" w:color="auto" w:fill="EFF6FF"/>
          </w:tcPr>
          <w:p>
            <w:r>
              <w:rPr>
                <w:sz w:val="19"/>
              </w:rPr>
              <w:t>Jan 2026 – Jul 2026</w:t>
            </w:r>
          </w:p>
        </w:tc>
      </w:tr>
      <w:tr>
        <w:tc>
          <w:tcPr>
            <w:tcW w:type="dxa" w:w="4536"/>
          </w:tcPr>
          <w:p>
            <w:r>
              <w:rPr>
                <w:sz w:val="19"/>
              </w:rPr>
              <w:t>Categories</w:t>
            </w:r>
          </w:p>
        </w:tc>
        <w:tc>
          <w:tcPr>
            <w:tcW w:type="dxa" w:w="4536"/>
          </w:tcPr>
          <w:p>
            <w:r>
              <w:rPr>
                <w:sz w:val="19"/>
              </w:rPr>
              <w:t>Beverages, Personal Care, Dairy, Grocery, Fruits, Snacks, Vegetables, Bakery</w:t>
            </w:r>
          </w:p>
        </w:tc>
      </w:tr>
      <w:tr>
        <w:tc>
          <w:tcPr>
            <w:tcW w:type="dxa" w:w="4536"/>
            <w:shd w:val="clear" w:color="auto" w:fill="EFF6FF"/>
          </w:tcPr>
          <w:p>
            <w:r>
              <w:rPr>
                <w:sz w:val="19"/>
              </w:rPr>
              <w:t>Missing Values</w:t>
            </w:r>
          </w:p>
        </w:tc>
        <w:tc>
          <w:tcPr>
            <w:tcW w:type="dxa" w:w="4536"/>
            <w:shd w:val="clear" w:color="auto" w:fill="EFF6FF"/>
          </w:tcPr>
          <w:p>
            <w:r>
              <w:rPr>
                <w:sz w:val="19"/>
              </w:rPr>
              <w:t>None</w:t>
            </w:r>
          </w:p>
        </w:tc>
      </w:tr>
      <w:tr>
        <w:tc>
          <w:tcPr>
            <w:tcW w:type="dxa" w:w="4536"/>
          </w:tcPr>
          <w:p>
            <w:r>
              <w:rPr>
                <w:sz w:val="19"/>
              </w:rPr>
              <w:t>Duplicate Rows</w:t>
            </w:r>
          </w:p>
        </w:tc>
        <w:tc>
          <w:tcPr>
            <w:tcW w:type="dxa" w:w="4536"/>
          </w:tcPr>
          <w:p>
            <w:r>
              <w:rPr>
                <w:sz w:val="19"/>
              </w:rPr>
              <w:t>None</w:t>
            </w:r>
          </w:p>
        </w:tc>
      </w:tr>
    </w:tbl>
    <w:p/>
    <w:p>
      <w:pPr>
        <w:pStyle w:val="Heading1"/>
        <w:jc w:val="left"/>
      </w:pPr>
      <w:r>
        <w:rPr>
          <w:color w:val="1E293B"/>
        </w:rPr>
        <w:t>3. Key Performance Indicators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2563EB"/>
          </w:tcPr>
          <w:p>
            <w:pPr>
              <w:jc w:val="center"/>
            </w:pPr>
            <w:r>
              <w:rPr>
                <w:b/>
                <w:color w:val="FFFFFF"/>
                <w:sz w:val="20"/>
              </w:rPr>
              <w:t>KPI</w:t>
            </w:r>
          </w:p>
        </w:tc>
        <w:tc>
          <w:tcPr>
            <w:tcW w:type="dxa" w:w="4536"/>
            <w:shd w:val="clear" w:color="auto" w:fill="2563EB"/>
          </w:tcPr>
          <w:p>
            <w:pPr>
              <w:jc w:val="center"/>
            </w:pPr>
            <w:r>
              <w:rPr>
                <w:b/>
                <w:color w:val="FFFFFF"/>
                <w:sz w:val="20"/>
              </w:rPr>
              <w:t>Value</w:t>
            </w:r>
          </w:p>
        </w:tc>
      </w:tr>
      <w:tr>
        <w:tc>
          <w:tcPr>
            <w:tcW w:type="dxa" w:w="4536"/>
            <w:shd w:val="clear" w:color="auto" w:fill="EFF6FF"/>
          </w:tcPr>
          <w:p>
            <w:r>
              <w:rPr>
                <w:sz w:val="19"/>
              </w:rPr>
              <w:t>Total Revenue</w:t>
            </w:r>
          </w:p>
        </w:tc>
        <w:tc>
          <w:tcPr>
            <w:tcW w:type="dxa" w:w="4536"/>
            <w:shd w:val="clear" w:color="auto" w:fill="EFF6FF"/>
          </w:tcPr>
          <w:p>
            <w:r>
              <w:rPr>
                <w:sz w:val="19"/>
              </w:rPr>
              <w:t>Rs 244,411.08</w:t>
            </w:r>
          </w:p>
        </w:tc>
      </w:tr>
      <w:tr>
        <w:tc>
          <w:tcPr>
            <w:tcW w:type="dxa" w:w="4536"/>
          </w:tcPr>
          <w:p>
            <w:r>
              <w:rPr>
                <w:sz w:val="19"/>
              </w:rPr>
              <w:t>Total Transactions</w:t>
            </w:r>
          </w:p>
        </w:tc>
        <w:tc>
          <w:tcPr>
            <w:tcW w:type="dxa" w:w="4536"/>
          </w:tcPr>
          <w:p>
            <w:r>
              <w:rPr>
                <w:sz w:val="19"/>
              </w:rPr>
              <w:t>500</w:t>
            </w:r>
          </w:p>
        </w:tc>
      </w:tr>
      <w:tr>
        <w:tc>
          <w:tcPr>
            <w:tcW w:type="dxa" w:w="4536"/>
            <w:shd w:val="clear" w:color="auto" w:fill="EFF6FF"/>
          </w:tcPr>
          <w:p>
            <w:r>
              <w:rPr>
                <w:sz w:val="19"/>
              </w:rPr>
              <w:t>Average Order Value</w:t>
            </w:r>
          </w:p>
        </w:tc>
        <w:tc>
          <w:tcPr>
            <w:tcW w:type="dxa" w:w="4536"/>
            <w:shd w:val="clear" w:color="auto" w:fill="EFF6FF"/>
          </w:tcPr>
          <w:p>
            <w:r>
              <w:rPr>
                <w:sz w:val="19"/>
              </w:rPr>
              <w:t>Rs 488.82</w:t>
            </w:r>
          </w:p>
        </w:tc>
      </w:tr>
      <w:tr>
        <w:tc>
          <w:tcPr>
            <w:tcW w:type="dxa" w:w="4536"/>
          </w:tcPr>
          <w:p>
            <w:r>
              <w:rPr>
                <w:sz w:val="19"/>
              </w:rPr>
              <w:t>Average Customer Rating</w:t>
            </w:r>
          </w:p>
        </w:tc>
        <w:tc>
          <w:tcPr>
            <w:tcW w:type="dxa" w:w="4536"/>
          </w:tcPr>
          <w:p>
            <w:r>
              <w:rPr>
                <w:sz w:val="19"/>
              </w:rPr>
              <w:t>3.99 / 5</w:t>
            </w:r>
          </w:p>
        </w:tc>
      </w:tr>
      <w:tr>
        <w:tc>
          <w:tcPr>
            <w:tcW w:type="dxa" w:w="4536"/>
            <w:shd w:val="clear" w:color="auto" w:fill="EFF6FF"/>
          </w:tcPr>
          <w:p>
            <w:r>
              <w:rPr>
                <w:sz w:val="19"/>
              </w:rPr>
              <w:t>Member Customers</w:t>
            </w:r>
          </w:p>
        </w:tc>
        <w:tc>
          <w:tcPr>
            <w:tcW w:type="dxa" w:w="4536"/>
            <w:shd w:val="clear" w:color="auto" w:fill="EFF6FF"/>
          </w:tcPr>
          <w:p>
            <w:r>
              <w:rPr>
                <w:sz w:val="19"/>
              </w:rPr>
              <w:t>59.2% of all transactions</w:t>
            </w:r>
          </w:p>
        </w:tc>
      </w:tr>
      <w:tr>
        <w:tc>
          <w:tcPr>
            <w:tcW w:type="dxa" w:w="4536"/>
          </w:tcPr>
          <w:p>
            <w:r>
              <w:rPr>
                <w:sz w:val="19"/>
              </w:rPr>
              <w:t>Cities Covered</w:t>
            </w:r>
          </w:p>
        </w:tc>
        <w:tc>
          <w:tcPr>
            <w:tcW w:type="dxa" w:w="4536"/>
          </w:tcPr>
          <w:p>
            <w:r>
              <w:rPr>
                <w:sz w:val="19"/>
              </w:rPr>
              <w:t>4 (Jaipur, Delhi, Mumbai, Bengaluru)</w:t>
            </w:r>
          </w:p>
        </w:tc>
      </w:tr>
    </w:tbl>
    <w:p/>
    <w:p>
      <w:pPr>
        <w:pStyle w:val="Heading1"/>
        <w:jc w:val="left"/>
      </w:pPr>
      <w:r>
        <w:rPr>
          <w:color w:val="1E293B"/>
        </w:rPr>
        <w:t>4. Business Insights</w:t>
      </w:r>
    </w:p>
    <w:p>
      <w:pPr>
        <w:pStyle w:val="Heading2"/>
        <w:jc w:val="left"/>
      </w:pPr>
      <w:r>
        <w:rPr>
          <w:color w:val="1E293B"/>
        </w:rPr>
        <w:t>4.1  Top Products by Sales</w:t>
      </w:r>
    </w:p>
    <w:p>
      <w:r>
        <w:rPr>
          <w:b w:val="0"/>
          <w:i w:val="0"/>
          <w:sz w:val="22"/>
        </w:rPr>
        <w:t>Cheese leads all products with Rs 27,906.30 in total sales. Coffee and Shampoo follow closely, suggesting strong demand in the Beverages and Personal Care segments. Basic staples like Biscuits and Milk trail behind premium products.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2563EB"/>
          </w:tcPr>
          <w:p>
            <w:pPr>
              <w:jc w:val="center"/>
            </w:pPr>
            <w:r>
              <w:rPr>
                <w:b/>
                <w:color w:val="FFFFFF"/>
                <w:sz w:val="20"/>
              </w:rPr>
              <w:t>Product</w:t>
            </w:r>
          </w:p>
        </w:tc>
        <w:tc>
          <w:tcPr>
            <w:tcW w:type="dxa" w:w="4536"/>
            <w:shd w:val="clear" w:color="auto" w:fill="2563EB"/>
          </w:tcPr>
          <w:p>
            <w:pPr>
              <w:jc w:val="center"/>
            </w:pPr>
            <w:r>
              <w:rPr>
                <w:b/>
                <w:color w:val="FFFFFF"/>
                <w:sz w:val="20"/>
              </w:rPr>
              <w:t>Total Sales</w:t>
            </w:r>
          </w:p>
        </w:tc>
      </w:tr>
      <w:tr>
        <w:tc>
          <w:tcPr>
            <w:tcW w:type="dxa" w:w="4536"/>
            <w:shd w:val="clear" w:color="auto" w:fill="EFF6FF"/>
          </w:tcPr>
          <w:p>
            <w:r>
              <w:rPr>
                <w:sz w:val="19"/>
              </w:rPr>
              <w:t>Cheese</w:t>
            </w:r>
          </w:p>
        </w:tc>
        <w:tc>
          <w:tcPr>
            <w:tcW w:type="dxa" w:w="4536"/>
            <w:shd w:val="clear" w:color="auto" w:fill="EFF6FF"/>
          </w:tcPr>
          <w:p>
            <w:r>
              <w:rPr>
                <w:sz w:val="19"/>
              </w:rPr>
              <w:t>Rs 27,906.30</w:t>
            </w:r>
          </w:p>
        </w:tc>
      </w:tr>
      <w:tr>
        <w:tc>
          <w:tcPr>
            <w:tcW w:type="dxa" w:w="4536"/>
          </w:tcPr>
          <w:p>
            <w:r>
              <w:rPr>
                <w:sz w:val="19"/>
              </w:rPr>
              <w:t>Coffee</w:t>
            </w:r>
          </w:p>
        </w:tc>
        <w:tc>
          <w:tcPr>
            <w:tcW w:type="dxa" w:w="4536"/>
          </w:tcPr>
          <w:p>
            <w:r>
              <w:rPr>
                <w:sz w:val="19"/>
              </w:rPr>
              <w:t>Rs 27,694.87</w:t>
            </w:r>
          </w:p>
        </w:tc>
      </w:tr>
      <w:tr>
        <w:tc>
          <w:tcPr>
            <w:tcW w:type="dxa" w:w="4536"/>
            <w:shd w:val="clear" w:color="auto" w:fill="EFF6FF"/>
          </w:tcPr>
          <w:p>
            <w:r>
              <w:rPr>
                <w:sz w:val="19"/>
              </w:rPr>
              <w:t>Shampoo</w:t>
            </w:r>
          </w:p>
        </w:tc>
        <w:tc>
          <w:tcPr>
            <w:tcW w:type="dxa" w:w="4536"/>
            <w:shd w:val="clear" w:color="auto" w:fill="EFF6FF"/>
          </w:tcPr>
          <w:p>
            <w:r>
              <w:rPr>
                <w:sz w:val="19"/>
              </w:rPr>
              <w:t>Rs 27,497.48</w:t>
            </w:r>
          </w:p>
        </w:tc>
      </w:tr>
      <w:tr>
        <w:tc>
          <w:tcPr>
            <w:tcW w:type="dxa" w:w="4536"/>
          </w:tcPr>
          <w:p>
            <w:r>
              <w:rPr>
                <w:sz w:val="19"/>
              </w:rPr>
              <w:t>Cooking Oil</w:t>
            </w:r>
          </w:p>
        </w:tc>
        <w:tc>
          <w:tcPr>
            <w:tcW w:type="dxa" w:w="4536"/>
          </w:tcPr>
          <w:p>
            <w:r>
              <w:rPr>
                <w:sz w:val="19"/>
              </w:rPr>
              <w:t>Rs 21,525.06</w:t>
            </w:r>
          </w:p>
        </w:tc>
      </w:tr>
      <w:tr>
        <w:tc>
          <w:tcPr>
            <w:tcW w:type="dxa" w:w="4536"/>
            <w:shd w:val="clear" w:color="auto" w:fill="EFF6FF"/>
          </w:tcPr>
          <w:p>
            <w:r>
              <w:rPr>
                <w:sz w:val="19"/>
              </w:rPr>
              <w:t>Tea</w:t>
            </w:r>
          </w:p>
        </w:tc>
        <w:tc>
          <w:tcPr>
            <w:tcW w:type="dxa" w:w="4536"/>
            <w:shd w:val="clear" w:color="auto" w:fill="EFF6FF"/>
          </w:tcPr>
          <w:p>
            <w:r>
              <w:rPr>
                <w:sz w:val="19"/>
              </w:rPr>
              <w:t>Rs 17,681.59</w:t>
            </w:r>
          </w:p>
        </w:tc>
      </w:tr>
      <w:tr>
        <w:tc>
          <w:tcPr>
            <w:tcW w:type="dxa" w:w="4536"/>
          </w:tcPr>
          <w:p>
            <w:r>
              <w:rPr>
                <w:sz w:val="19"/>
              </w:rPr>
              <w:t>Apples</w:t>
            </w:r>
          </w:p>
        </w:tc>
        <w:tc>
          <w:tcPr>
            <w:tcW w:type="dxa" w:w="4536"/>
          </w:tcPr>
          <w:p>
            <w:r>
              <w:rPr>
                <w:sz w:val="19"/>
              </w:rPr>
              <w:t>Rs 17,057.41</w:t>
            </w:r>
          </w:p>
        </w:tc>
      </w:tr>
      <w:tr>
        <w:tc>
          <w:tcPr>
            <w:tcW w:type="dxa" w:w="4536"/>
            <w:shd w:val="clear" w:color="auto" w:fill="EFF6FF"/>
          </w:tcPr>
          <w:p>
            <w:r>
              <w:rPr>
                <w:sz w:val="19"/>
              </w:rPr>
              <w:t>Face Wash</w:t>
            </w:r>
          </w:p>
        </w:tc>
        <w:tc>
          <w:tcPr>
            <w:tcW w:type="dxa" w:w="4536"/>
            <w:shd w:val="clear" w:color="auto" w:fill="EFF6FF"/>
          </w:tcPr>
          <w:p>
            <w:r>
              <w:rPr>
                <w:sz w:val="19"/>
              </w:rPr>
              <w:t>Rs 11,946.85</w:t>
            </w:r>
          </w:p>
        </w:tc>
      </w:tr>
      <w:tr>
        <w:tc>
          <w:tcPr>
            <w:tcW w:type="dxa" w:w="4536"/>
          </w:tcPr>
          <w:p>
            <w:r>
              <w:rPr>
                <w:sz w:val="19"/>
              </w:rPr>
              <w:t>Rice</w:t>
            </w:r>
          </w:p>
        </w:tc>
        <w:tc>
          <w:tcPr>
            <w:tcW w:type="dxa" w:w="4536"/>
          </w:tcPr>
          <w:p>
            <w:r>
              <w:rPr>
                <w:sz w:val="19"/>
              </w:rPr>
              <w:t>Rs 11,754.17</w:t>
            </w:r>
          </w:p>
        </w:tc>
      </w:tr>
      <w:tr>
        <w:tc>
          <w:tcPr>
            <w:tcW w:type="dxa" w:w="4536"/>
            <w:shd w:val="clear" w:color="auto" w:fill="EFF6FF"/>
          </w:tcPr>
          <w:p>
            <w:r>
              <w:rPr>
                <w:sz w:val="19"/>
              </w:rPr>
              <w:t>Cold Drink</w:t>
            </w:r>
          </w:p>
        </w:tc>
        <w:tc>
          <w:tcPr>
            <w:tcW w:type="dxa" w:w="4536"/>
            <w:shd w:val="clear" w:color="auto" w:fill="EFF6FF"/>
          </w:tcPr>
          <w:p>
            <w:r>
              <w:rPr>
                <w:sz w:val="19"/>
              </w:rPr>
              <w:t>Rs 10,731.78</w:t>
            </w:r>
          </w:p>
        </w:tc>
      </w:tr>
      <w:tr>
        <w:tc>
          <w:tcPr>
            <w:tcW w:type="dxa" w:w="4536"/>
          </w:tcPr>
          <w:p>
            <w:r>
              <w:rPr>
                <w:sz w:val="19"/>
              </w:rPr>
              <w:t>Eggs</w:t>
            </w:r>
          </w:p>
        </w:tc>
        <w:tc>
          <w:tcPr>
            <w:tcW w:type="dxa" w:w="4536"/>
          </w:tcPr>
          <w:p>
            <w:r>
              <w:rPr>
                <w:sz w:val="19"/>
              </w:rPr>
              <w:t>Rs 10,429.77</w:t>
            </w:r>
          </w:p>
        </w:tc>
      </w:tr>
      <w:tr>
        <w:tc>
          <w:tcPr>
            <w:tcW w:type="dxa" w:w="4536"/>
            <w:shd w:val="clear" w:color="auto" w:fill="EFF6FF"/>
          </w:tcPr>
          <w:p>
            <w:r>
              <w:rPr>
                <w:sz w:val="19"/>
              </w:rPr>
              <w:t>Chocolate</w:t>
            </w:r>
          </w:p>
        </w:tc>
        <w:tc>
          <w:tcPr>
            <w:tcW w:type="dxa" w:w="4536"/>
            <w:shd w:val="clear" w:color="auto" w:fill="EFF6FF"/>
          </w:tcPr>
          <w:p>
            <w:r>
              <w:rPr>
                <w:sz w:val="19"/>
              </w:rPr>
              <w:t>Rs 7,250.65</w:t>
            </w:r>
          </w:p>
        </w:tc>
      </w:tr>
      <w:tr>
        <w:tc>
          <w:tcPr>
            <w:tcW w:type="dxa" w:w="4536"/>
          </w:tcPr>
          <w:p>
            <w:r>
              <w:rPr>
                <w:sz w:val="19"/>
              </w:rPr>
              <w:t>Noodles</w:t>
            </w:r>
          </w:p>
        </w:tc>
        <w:tc>
          <w:tcPr>
            <w:tcW w:type="dxa" w:w="4536"/>
          </w:tcPr>
          <w:p>
            <w:r>
              <w:rPr>
                <w:sz w:val="19"/>
              </w:rPr>
              <w:t>Rs 7,191.24</w:t>
            </w:r>
          </w:p>
        </w:tc>
      </w:tr>
      <w:tr>
        <w:tc>
          <w:tcPr>
            <w:tcW w:type="dxa" w:w="4536"/>
            <w:shd w:val="clear" w:color="auto" w:fill="EFF6FF"/>
          </w:tcPr>
          <w:p>
            <w:r>
              <w:rPr>
                <w:sz w:val="19"/>
              </w:rPr>
              <w:t>Potato</w:t>
            </w:r>
          </w:p>
        </w:tc>
        <w:tc>
          <w:tcPr>
            <w:tcW w:type="dxa" w:w="4536"/>
            <w:shd w:val="clear" w:color="auto" w:fill="EFF6FF"/>
          </w:tcPr>
          <w:p>
            <w:r>
              <w:rPr>
                <w:sz w:val="19"/>
              </w:rPr>
              <w:t>Rs 6,799.38</w:t>
            </w:r>
          </w:p>
        </w:tc>
      </w:tr>
      <w:tr>
        <w:tc>
          <w:tcPr>
            <w:tcW w:type="dxa" w:w="4536"/>
          </w:tcPr>
          <w:p>
            <w:r>
              <w:rPr>
                <w:sz w:val="19"/>
              </w:rPr>
              <w:t>Bread</w:t>
            </w:r>
          </w:p>
        </w:tc>
        <w:tc>
          <w:tcPr>
            <w:tcW w:type="dxa" w:w="4536"/>
          </w:tcPr>
          <w:p>
            <w:r>
              <w:rPr>
                <w:sz w:val="19"/>
              </w:rPr>
              <w:t>Rs 6,516.10</w:t>
            </w:r>
          </w:p>
        </w:tc>
      </w:tr>
      <w:tr>
        <w:tc>
          <w:tcPr>
            <w:tcW w:type="dxa" w:w="4536"/>
            <w:shd w:val="clear" w:color="auto" w:fill="EFF6FF"/>
          </w:tcPr>
          <w:p>
            <w:r>
              <w:rPr>
                <w:sz w:val="19"/>
              </w:rPr>
              <w:t>Soap</w:t>
            </w:r>
          </w:p>
        </w:tc>
        <w:tc>
          <w:tcPr>
            <w:tcW w:type="dxa" w:w="4536"/>
            <w:shd w:val="clear" w:color="auto" w:fill="EFF6FF"/>
          </w:tcPr>
          <w:p>
            <w:r>
              <w:rPr>
                <w:sz w:val="19"/>
              </w:rPr>
              <w:t>Rs 6,499.63</w:t>
            </w:r>
          </w:p>
        </w:tc>
      </w:tr>
      <w:tr>
        <w:tc>
          <w:tcPr>
            <w:tcW w:type="dxa" w:w="4536"/>
          </w:tcPr>
          <w:p>
            <w:r>
              <w:rPr>
                <w:sz w:val="19"/>
              </w:rPr>
              <w:t>Bananas</w:t>
            </w:r>
          </w:p>
        </w:tc>
        <w:tc>
          <w:tcPr>
            <w:tcW w:type="dxa" w:w="4536"/>
          </w:tcPr>
          <w:p>
            <w:r>
              <w:rPr>
                <w:sz w:val="19"/>
              </w:rPr>
              <w:t>Rs 6,205.76</w:t>
            </w:r>
          </w:p>
        </w:tc>
      </w:tr>
      <w:tr>
        <w:tc>
          <w:tcPr>
            <w:tcW w:type="dxa" w:w="4536"/>
            <w:shd w:val="clear" w:color="auto" w:fill="EFF6FF"/>
          </w:tcPr>
          <w:p>
            <w:r>
              <w:rPr>
                <w:sz w:val="19"/>
              </w:rPr>
              <w:t>Chips</w:t>
            </w:r>
          </w:p>
        </w:tc>
        <w:tc>
          <w:tcPr>
            <w:tcW w:type="dxa" w:w="4536"/>
            <w:shd w:val="clear" w:color="auto" w:fill="EFF6FF"/>
          </w:tcPr>
          <w:p>
            <w:r>
              <w:rPr>
                <w:sz w:val="19"/>
              </w:rPr>
              <w:t>Rs 5,833.45</w:t>
            </w:r>
          </w:p>
        </w:tc>
      </w:tr>
      <w:tr>
        <w:tc>
          <w:tcPr>
            <w:tcW w:type="dxa" w:w="4536"/>
          </w:tcPr>
          <w:p>
            <w:r>
              <w:rPr>
                <w:sz w:val="19"/>
              </w:rPr>
              <w:t>Milk</w:t>
            </w:r>
          </w:p>
        </w:tc>
        <w:tc>
          <w:tcPr>
            <w:tcW w:type="dxa" w:w="4536"/>
          </w:tcPr>
          <w:p>
            <w:r>
              <w:rPr>
                <w:sz w:val="19"/>
              </w:rPr>
              <w:t>Rs 5,655.93</w:t>
            </w:r>
          </w:p>
        </w:tc>
      </w:tr>
      <w:tr>
        <w:tc>
          <w:tcPr>
            <w:tcW w:type="dxa" w:w="4536"/>
            <w:shd w:val="clear" w:color="auto" w:fill="EFF6FF"/>
          </w:tcPr>
          <w:p>
            <w:r>
              <w:rPr>
                <w:sz w:val="19"/>
              </w:rPr>
              <w:t>Tomato</w:t>
            </w:r>
          </w:p>
        </w:tc>
        <w:tc>
          <w:tcPr>
            <w:tcW w:type="dxa" w:w="4536"/>
            <w:shd w:val="clear" w:color="auto" w:fill="EFF6FF"/>
          </w:tcPr>
          <w:p>
            <w:r>
              <w:rPr>
                <w:sz w:val="19"/>
              </w:rPr>
              <w:t>Rs 4,324.79</w:t>
            </w:r>
          </w:p>
        </w:tc>
      </w:tr>
      <w:tr>
        <w:tc>
          <w:tcPr>
            <w:tcW w:type="dxa" w:w="4536"/>
          </w:tcPr>
          <w:p>
            <w:r>
              <w:rPr>
                <w:sz w:val="19"/>
              </w:rPr>
              <w:t>Biscuits</w:t>
            </w:r>
          </w:p>
        </w:tc>
        <w:tc>
          <w:tcPr>
            <w:tcW w:type="dxa" w:w="4536"/>
          </w:tcPr>
          <w:p>
            <w:r>
              <w:rPr>
                <w:sz w:val="19"/>
              </w:rPr>
              <w:t>Rs 3,908.87</w:t>
            </w:r>
          </w:p>
        </w:tc>
      </w:tr>
    </w:tbl>
    <w:p/>
    <w:p>
      <w:pPr>
        <w:pStyle w:val="Heading2"/>
        <w:jc w:val="left"/>
      </w:pPr>
      <w:r>
        <w:rPr>
          <w:color w:val="1E293B"/>
        </w:rPr>
        <w:t>4.2  Branch Performance</w:t>
      </w:r>
    </w:p>
    <w:p>
      <w:r>
        <w:rPr>
          <w:b w:val="0"/>
          <w:i w:val="0"/>
          <w:sz w:val="22"/>
        </w:rPr>
        <w:t>Branch C (Mumbai) is the highest-performing branch with Rs 72,469.45 in revenue, ahead of Branch B (Delhi). Branch A (Jaipur) records the lowest revenue — targeted promotions there could unlock additional growth.</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2563EB"/>
          </w:tcPr>
          <w:p>
            <w:pPr>
              <w:jc w:val="center"/>
            </w:pPr>
            <w:r>
              <w:rPr>
                <w:b/>
                <w:color w:val="FFFFFF"/>
                <w:sz w:val="20"/>
              </w:rPr>
              <w:t>Branch</w:t>
            </w:r>
          </w:p>
        </w:tc>
        <w:tc>
          <w:tcPr>
            <w:tcW w:type="dxa" w:w="4536"/>
            <w:shd w:val="clear" w:color="auto" w:fill="2563EB"/>
          </w:tcPr>
          <w:p>
            <w:pPr>
              <w:jc w:val="center"/>
            </w:pPr>
            <w:r>
              <w:rPr>
                <w:b/>
                <w:color w:val="FFFFFF"/>
                <w:sz w:val="20"/>
              </w:rPr>
              <w:t>Total Sales</w:t>
            </w:r>
          </w:p>
        </w:tc>
      </w:tr>
      <w:tr>
        <w:tc>
          <w:tcPr>
            <w:tcW w:type="dxa" w:w="4536"/>
            <w:shd w:val="clear" w:color="auto" w:fill="EFF6FF"/>
          </w:tcPr>
          <w:p>
            <w:r>
              <w:rPr>
                <w:sz w:val="19"/>
              </w:rPr>
              <w:t>Branch C – Mumbai</w:t>
            </w:r>
          </w:p>
        </w:tc>
        <w:tc>
          <w:tcPr>
            <w:tcW w:type="dxa" w:w="4536"/>
            <w:shd w:val="clear" w:color="auto" w:fill="EFF6FF"/>
          </w:tcPr>
          <w:p>
            <w:r>
              <w:rPr>
                <w:sz w:val="19"/>
              </w:rPr>
              <w:t>Rs 72,469.45</w:t>
            </w:r>
          </w:p>
        </w:tc>
      </w:tr>
      <w:tr>
        <w:tc>
          <w:tcPr>
            <w:tcW w:type="dxa" w:w="4536"/>
          </w:tcPr>
          <w:p>
            <w:r>
              <w:rPr>
                <w:sz w:val="19"/>
              </w:rPr>
              <w:t>Branch B – Delhi</w:t>
            </w:r>
          </w:p>
        </w:tc>
        <w:tc>
          <w:tcPr>
            <w:tcW w:type="dxa" w:w="4536"/>
          </w:tcPr>
          <w:p>
            <w:r>
              <w:rPr>
                <w:sz w:val="19"/>
              </w:rPr>
              <w:t>Rs 64,116.26</w:t>
            </w:r>
          </w:p>
        </w:tc>
      </w:tr>
      <w:tr>
        <w:tc>
          <w:tcPr>
            <w:tcW w:type="dxa" w:w="4536"/>
            <w:shd w:val="clear" w:color="auto" w:fill="EFF6FF"/>
          </w:tcPr>
          <w:p>
            <w:r>
              <w:rPr>
                <w:sz w:val="19"/>
              </w:rPr>
              <w:t>Branch D – Bengaluru</w:t>
            </w:r>
          </w:p>
        </w:tc>
        <w:tc>
          <w:tcPr>
            <w:tcW w:type="dxa" w:w="4536"/>
            <w:shd w:val="clear" w:color="auto" w:fill="EFF6FF"/>
          </w:tcPr>
          <w:p>
            <w:r>
              <w:rPr>
                <w:sz w:val="19"/>
              </w:rPr>
              <w:t>Rs 55,468.29</w:t>
            </w:r>
          </w:p>
        </w:tc>
      </w:tr>
      <w:tr>
        <w:tc>
          <w:tcPr>
            <w:tcW w:type="dxa" w:w="4536"/>
          </w:tcPr>
          <w:p>
            <w:r>
              <w:rPr>
                <w:sz w:val="19"/>
              </w:rPr>
              <w:t>Branch A – Jaipur</w:t>
            </w:r>
          </w:p>
        </w:tc>
        <w:tc>
          <w:tcPr>
            <w:tcW w:type="dxa" w:w="4536"/>
          </w:tcPr>
          <w:p>
            <w:r>
              <w:rPr>
                <w:sz w:val="19"/>
              </w:rPr>
              <w:t>Rs 52,357.08</w:t>
            </w:r>
          </w:p>
        </w:tc>
      </w:tr>
    </w:tbl>
    <w:p/>
    <w:p>
      <w:pPr>
        <w:pStyle w:val="Heading2"/>
        <w:jc w:val="left"/>
      </w:pPr>
      <w:r>
        <w:rPr>
          <w:color w:val="1E293B"/>
        </w:rPr>
        <w:t>4.3  Category Breakdown</w:t>
      </w:r>
    </w:p>
    <w:p>
      <w:r>
        <w:rPr>
          <w:b w:val="0"/>
          <w:i w:val="0"/>
          <w:sz w:val="22"/>
        </w:rPr>
        <w:t>Beverages is the top-grossing category (Rs 56,108.24), driven by high unit prices for Coffee and Tea. Personal Care and Dairy follow. Bakery records the lowest category revenue.</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2563EB"/>
          </w:tcPr>
          <w:p>
            <w:pPr>
              <w:jc w:val="center"/>
            </w:pPr>
            <w:r>
              <w:rPr>
                <w:b/>
                <w:color w:val="FFFFFF"/>
                <w:sz w:val="20"/>
              </w:rPr>
              <w:t>Category</w:t>
            </w:r>
          </w:p>
        </w:tc>
        <w:tc>
          <w:tcPr>
            <w:tcW w:type="dxa" w:w="4536"/>
            <w:shd w:val="clear" w:color="auto" w:fill="2563EB"/>
          </w:tcPr>
          <w:p>
            <w:pPr>
              <w:jc w:val="center"/>
            </w:pPr>
            <w:r>
              <w:rPr>
                <w:b/>
                <w:color w:val="FFFFFF"/>
                <w:sz w:val="20"/>
              </w:rPr>
              <w:t>Total Sales</w:t>
            </w:r>
          </w:p>
        </w:tc>
      </w:tr>
      <w:tr>
        <w:tc>
          <w:tcPr>
            <w:tcW w:type="dxa" w:w="4536"/>
            <w:shd w:val="clear" w:color="auto" w:fill="EFF6FF"/>
          </w:tcPr>
          <w:p>
            <w:r>
              <w:rPr>
                <w:sz w:val="19"/>
              </w:rPr>
              <w:t>Beverages</w:t>
            </w:r>
          </w:p>
        </w:tc>
        <w:tc>
          <w:tcPr>
            <w:tcW w:type="dxa" w:w="4536"/>
            <w:shd w:val="clear" w:color="auto" w:fill="EFF6FF"/>
          </w:tcPr>
          <w:p>
            <w:r>
              <w:rPr>
                <w:sz w:val="19"/>
              </w:rPr>
              <w:t>Rs 56,108.24</w:t>
            </w:r>
          </w:p>
        </w:tc>
      </w:tr>
      <w:tr>
        <w:tc>
          <w:tcPr>
            <w:tcW w:type="dxa" w:w="4536"/>
          </w:tcPr>
          <w:p>
            <w:r>
              <w:rPr>
                <w:sz w:val="19"/>
              </w:rPr>
              <w:t>Personal Care</w:t>
            </w:r>
          </w:p>
        </w:tc>
        <w:tc>
          <w:tcPr>
            <w:tcW w:type="dxa" w:w="4536"/>
          </w:tcPr>
          <w:p>
            <w:r>
              <w:rPr>
                <w:sz w:val="19"/>
              </w:rPr>
              <w:t>Rs 45,943.96</w:t>
            </w:r>
          </w:p>
        </w:tc>
      </w:tr>
      <w:tr>
        <w:tc>
          <w:tcPr>
            <w:tcW w:type="dxa" w:w="4536"/>
            <w:shd w:val="clear" w:color="auto" w:fill="EFF6FF"/>
          </w:tcPr>
          <w:p>
            <w:r>
              <w:rPr>
                <w:sz w:val="19"/>
              </w:rPr>
              <w:t>Dairy</w:t>
            </w:r>
          </w:p>
        </w:tc>
        <w:tc>
          <w:tcPr>
            <w:tcW w:type="dxa" w:w="4536"/>
            <w:shd w:val="clear" w:color="auto" w:fill="EFF6FF"/>
          </w:tcPr>
          <w:p>
            <w:r>
              <w:rPr>
                <w:sz w:val="19"/>
              </w:rPr>
              <w:t>Rs 43,992.00</w:t>
            </w:r>
          </w:p>
        </w:tc>
      </w:tr>
      <w:tr>
        <w:tc>
          <w:tcPr>
            <w:tcW w:type="dxa" w:w="4536"/>
          </w:tcPr>
          <w:p>
            <w:r>
              <w:rPr>
                <w:sz w:val="19"/>
              </w:rPr>
              <w:t>Grocery</w:t>
            </w:r>
          </w:p>
        </w:tc>
        <w:tc>
          <w:tcPr>
            <w:tcW w:type="dxa" w:w="4536"/>
          </w:tcPr>
          <w:p>
            <w:r>
              <w:rPr>
                <w:sz w:val="19"/>
              </w:rPr>
              <w:t>Rs 40,470.47</w:t>
            </w:r>
          </w:p>
        </w:tc>
      </w:tr>
      <w:tr>
        <w:tc>
          <w:tcPr>
            <w:tcW w:type="dxa" w:w="4536"/>
            <w:shd w:val="clear" w:color="auto" w:fill="EFF6FF"/>
          </w:tcPr>
          <w:p>
            <w:r>
              <w:rPr>
                <w:sz w:val="19"/>
              </w:rPr>
              <w:t>Fruits</w:t>
            </w:r>
          </w:p>
        </w:tc>
        <w:tc>
          <w:tcPr>
            <w:tcW w:type="dxa" w:w="4536"/>
            <w:shd w:val="clear" w:color="auto" w:fill="EFF6FF"/>
          </w:tcPr>
          <w:p>
            <w:r>
              <w:rPr>
                <w:sz w:val="19"/>
              </w:rPr>
              <w:t>Rs 23,263.17</w:t>
            </w:r>
          </w:p>
        </w:tc>
      </w:tr>
      <w:tr>
        <w:tc>
          <w:tcPr>
            <w:tcW w:type="dxa" w:w="4536"/>
          </w:tcPr>
          <w:p>
            <w:r>
              <w:rPr>
                <w:sz w:val="19"/>
              </w:rPr>
              <w:t>Snacks</w:t>
            </w:r>
          </w:p>
        </w:tc>
        <w:tc>
          <w:tcPr>
            <w:tcW w:type="dxa" w:w="4536"/>
          </w:tcPr>
          <w:p>
            <w:r>
              <w:rPr>
                <w:sz w:val="19"/>
              </w:rPr>
              <w:t>Rs 16,992.97</w:t>
            </w:r>
          </w:p>
        </w:tc>
      </w:tr>
      <w:tr>
        <w:tc>
          <w:tcPr>
            <w:tcW w:type="dxa" w:w="4536"/>
            <w:shd w:val="clear" w:color="auto" w:fill="EFF6FF"/>
          </w:tcPr>
          <w:p>
            <w:r>
              <w:rPr>
                <w:sz w:val="19"/>
              </w:rPr>
              <w:t>Vegetables</w:t>
            </w:r>
          </w:p>
        </w:tc>
        <w:tc>
          <w:tcPr>
            <w:tcW w:type="dxa" w:w="4536"/>
            <w:shd w:val="clear" w:color="auto" w:fill="EFF6FF"/>
          </w:tcPr>
          <w:p>
            <w:r>
              <w:rPr>
                <w:sz w:val="19"/>
              </w:rPr>
              <w:t>Rs 11,124.17</w:t>
            </w:r>
          </w:p>
        </w:tc>
      </w:tr>
      <w:tr>
        <w:tc>
          <w:tcPr>
            <w:tcW w:type="dxa" w:w="4536"/>
          </w:tcPr>
          <w:p>
            <w:r>
              <w:rPr>
                <w:sz w:val="19"/>
              </w:rPr>
              <w:t>Bakery</w:t>
            </w:r>
          </w:p>
        </w:tc>
        <w:tc>
          <w:tcPr>
            <w:tcW w:type="dxa" w:w="4536"/>
          </w:tcPr>
          <w:p>
            <w:r>
              <w:rPr>
                <w:sz w:val="19"/>
              </w:rPr>
              <w:t>Rs 6,516.10</w:t>
            </w:r>
          </w:p>
        </w:tc>
      </w:tr>
    </w:tbl>
    <w:p/>
    <w:p>
      <w:pPr>
        <w:pStyle w:val="Heading2"/>
        <w:jc w:val="left"/>
      </w:pPr>
      <w:r>
        <w:rPr>
          <w:color w:val="1E293B"/>
        </w:rPr>
        <w:t>4.4  Payment Method Popularity</w:t>
      </w:r>
    </w:p>
    <w:p>
      <w:r>
        <w:rPr>
          <w:b w:val="0"/>
          <w:i w:val="0"/>
          <w:sz w:val="22"/>
        </w:rPr>
        <w:t>Payment methods are almost equally distributed. UPI leads with 127 transactions, closely followed by Net Banking (126), Card (125), and Cash (122). This indicates a highly digital-savvy customer base.</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2563EB"/>
          </w:tcPr>
          <w:p>
            <w:pPr>
              <w:jc w:val="center"/>
            </w:pPr>
            <w:r>
              <w:rPr>
                <w:b/>
                <w:color w:val="FFFFFF"/>
                <w:sz w:val="20"/>
              </w:rPr>
              <w:t>Payment Method</w:t>
            </w:r>
          </w:p>
        </w:tc>
        <w:tc>
          <w:tcPr>
            <w:tcW w:type="dxa" w:w="4536"/>
            <w:shd w:val="clear" w:color="auto" w:fill="2563EB"/>
          </w:tcPr>
          <w:p>
            <w:pPr>
              <w:jc w:val="center"/>
            </w:pPr>
            <w:r>
              <w:rPr>
                <w:b/>
                <w:color w:val="FFFFFF"/>
                <w:sz w:val="20"/>
              </w:rPr>
              <w:t>Transactions</w:t>
            </w:r>
          </w:p>
        </w:tc>
      </w:tr>
      <w:tr>
        <w:tc>
          <w:tcPr>
            <w:tcW w:type="dxa" w:w="4536"/>
            <w:shd w:val="clear" w:color="auto" w:fill="EFF6FF"/>
          </w:tcPr>
          <w:p>
            <w:r>
              <w:rPr>
                <w:sz w:val="19"/>
              </w:rPr>
              <w:t>UPI</w:t>
            </w:r>
          </w:p>
        </w:tc>
        <w:tc>
          <w:tcPr>
            <w:tcW w:type="dxa" w:w="4536"/>
            <w:shd w:val="clear" w:color="auto" w:fill="EFF6FF"/>
          </w:tcPr>
          <w:p>
            <w:r>
              <w:rPr>
                <w:sz w:val="19"/>
              </w:rPr>
              <w:t>127</w:t>
            </w:r>
          </w:p>
        </w:tc>
      </w:tr>
      <w:tr>
        <w:tc>
          <w:tcPr>
            <w:tcW w:type="dxa" w:w="4536"/>
          </w:tcPr>
          <w:p>
            <w:r>
              <w:rPr>
                <w:sz w:val="19"/>
              </w:rPr>
              <w:t>Net Banking</w:t>
            </w:r>
          </w:p>
        </w:tc>
        <w:tc>
          <w:tcPr>
            <w:tcW w:type="dxa" w:w="4536"/>
          </w:tcPr>
          <w:p>
            <w:r>
              <w:rPr>
                <w:sz w:val="19"/>
              </w:rPr>
              <w:t>126</w:t>
            </w:r>
          </w:p>
        </w:tc>
      </w:tr>
      <w:tr>
        <w:tc>
          <w:tcPr>
            <w:tcW w:type="dxa" w:w="4536"/>
            <w:shd w:val="clear" w:color="auto" w:fill="EFF6FF"/>
          </w:tcPr>
          <w:p>
            <w:r>
              <w:rPr>
                <w:sz w:val="19"/>
              </w:rPr>
              <w:t>Card</w:t>
            </w:r>
          </w:p>
        </w:tc>
        <w:tc>
          <w:tcPr>
            <w:tcW w:type="dxa" w:w="4536"/>
            <w:shd w:val="clear" w:color="auto" w:fill="EFF6FF"/>
          </w:tcPr>
          <w:p>
            <w:r>
              <w:rPr>
                <w:sz w:val="19"/>
              </w:rPr>
              <w:t>125</w:t>
            </w:r>
          </w:p>
        </w:tc>
      </w:tr>
      <w:tr>
        <w:tc>
          <w:tcPr>
            <w:tcW w:type="dxa" w:w="4536"/>
          </w:tcPr>
          <w:p>
            <w:r>
              <w:rPr>
                <w:sz w:val="19"/>
              </w:rPr>
              <w:t>Cash</w:t>
            </w:r>
          </w:p>
        </w:tc>
        <w:tc>
          <w:tcPr>
            <w:tcW w:type="dxa" w:w="4536"/>
          </w:tcPr>
          <w:p>
            <w:r>
              <w:rPr>
                <w:sz w:val="19"/>
              </w:rPr>
              <w:t>122</w:t>
            </w:r>
          </w:p>
        </w:tc>
      </w:tr>
    </w:tbl>
    <w:p/>
    <w:p>
      <w:pPr>
        <w:pStyle w:val="Heading2"/>
        <w:jc w:val="left"/>
      </w:pPr>
      <w:r>
        <w:rPr>
          <w:color w:val="1E293B"/>
        </w:rPr>
        <w:t>4.5  Member vs Normal Customer Spending</w:t>
      </w:r>
    </w:p>
    <w:p>
      <w:r>
        <w:rPr>
          <w:b w:val="0"/>
          <w:i w:val="0"/>
          <w:sz w:val="22"/>
        </w:rPr>
        <w:t>Member customers account for 59.2% of all transactions and generate 58.5% of total revenue (Rs 1,43,009 vs Rs 1,01,402 for Normal customers). However, the average order value is slightly higher for Normal customers (Rs 497 vs Rs 483), suggesting Members transact more frequently.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2563EB"/>
          </w:tcPr>
          <w:p>
            <w:pPr>
              <w:jc w:val="center"/>
            </w:pPr>
            <w:r>
              <w:rPr>
                <w:b/>
                <w:color w:val="FFFFFF"/>
                <w:sz w:val="20"/>
              </w:rPr>
              <w:t>Customer Type</w:t>
            </w:r>
          </w:p>
        </w:tc>
        <w:tc>
          <w:tcPr>
            <w:tcW w:type="dxa" w:w="2268"/>
            <w:shd w:val="clear" w:color="auto" w:fill="2563EB"/>
          </w:tcPr>
          <w:p>
            <w:pPr>
              <w:jc w:val="center"/>
            </w:pPr>
            <w:r>
              <w:rPr>
                <w:b/>
                <w:color w:val="FFFFFF"/>
                <w:sz w:val="20"/>
              </w:rPr>
              <w:t>Total Spend</w:t>
            </w:r>
          </w:p>
        </w:tc>
        <w:tc>
          <w:tcPr>
            <w:tcW w:type="dxa" w:w="2268"/>
            <w:shd w:val="clear" w:color="auto" w:fill="2563EB"/>
          </w:tcPr>
          <w:p>
            <w:pPr>
              <w:jc w:val="center"/>
            </w:pPr>
            <w:r>
              <w:rPr>
                <w:b/>
                <w:color w:val="FFFFFF"/>
                <w:sz w:val="20"/>
              </w:rPr>
              <w:t>Avg Order</w:t>
            </w:r>
          </w:p>
        </w:tc>
        <w:tc>
          <w:tcPr>
            <w:tcW w:type="dxa" w:w="2268"/>
            <w:shd w:val="clear" w:color="auto" w:fill="2563EB"/>
          </w:tcPr>
          <w:p>
            <w:pPr>
              <w:jc w:val="center"/>
            </w:pPr>
            <w:r>
              <w:rPr>
                <w:b/>
                <w:color w:val="FFFFFF"/>
                <w:sz w:val="20"/>
              </w:rPr>
              <w:t>Transactions</w:t>
            </w:r>
          </w:p>
        </w:tc>
      </w:tr>
      <w:tr>
        <w:tc>
          <w:tcPr>
            <w:tcW w:type="dxa" w:w="2268"/>
            <w:shd w:val="clear" w:color="auto" w:fill="EFF6FF"/>
          </w:tcPr>
          <w:p>
            <w:r>
              <w:rPr>
                <w:sz w:val="19"/>
              </w:rPr>
              <w:t>Member</w:t>
            </w:r>
          </w:p>
        </w:tc>
        <w:tc>
          <w:tcPr>
            <w:tcW w:type="dxa" w:w="2268"/>
            <w:shd w:val="clear" w:color="auto" w:fill="EFF6FF"/>
          </w:tcPr>
          <w:p>
            <w:r>
              <w:rPr>
                <w:sz w:val="19"/>
              </w:rPr>
              <w:t>Rs 143,009.30</w:t>
            </w:r>
          </w:p>
        </w:tc>
        <w:tc>
          <w:tcPr>
            <w:tcW w:type="dxa" w:w="2268"/>
            <w:shd w:val="clear" w:color="auto" w:fill="EFF6FF"/>
          </w:tcPr>
          <w:p>
            <w:r>
              <w:rPr>
                <w:sz w:val="19"/>
              </w:rPr>
              <w:t>Rs 483.14</w:t>
            </w:r>
          </w:p>
        </w:tc>
        <w:tc>
          <w:tcPr>
            <w:tcW w:type="dxa" w:w="2268"/>
            <w:shd w:val="clear" w:color="auto" w:fill="EFF6FF"/>
          </w:tcPr>
          <w:p>
            <w:r>
              <w:rPr>
                <w:sz w:val="19"/>
              </w:rPr>
              <w:t>296</w:t>
            </w:r>
          </w:p>
        </w:tc>
      </w:tr>
      <w:tr>
        <w:tc>
          <w:tcPr>
            <w:tcW w:type="dxa" w:w="2268"/>
          </w:tcPr>
          <w:p>
            <w:r>
              <w:rPr>
                <w:sz w:val="19"/>
              </w:rPr>
              <w:t>Normal</w:t>
            </w:r>
          </w:p>
        </w:tc>
        <w:tc>
          <w:tcPr>
            <w:tcW w:type="dxa" w:w="2268"/>
          </w:tcPr>
          <w:p>
            <w:r>
              <w:rPr>
                <w:sz w:val="19"/>
              </w:rPr>
              <w:t>Rs 101,401.78</w:t>
            </w:r>
          </w:p>
        </w:tc>
        <w:tc>
          <w:tcPr>
            <w:tcW w:type="dxa" w:w="2268"/>
          </w:tcPr>
          <w:p>
            <w:r>
              <w:rPr>
                <w:sz w:val="19"/>
              </w:rPr>
              <w:t>Rs 497.07</w:t>
            </w:r>
          </w:p>
        </w:tc>
        <w:tc>
          <w:tcPr>
            <w:tcW w:type="dxa" w:w="2268"/>
          </w:tcPr>
          <w:p>
            <w:r>
              <w:rPr>
                <w:sz w:val="19"/>
              </w:rPr>
              <w:t>204</w:t>
            </w:r>
          </w:p>
        </w:tc>
      </w:tr>
    </w:tbl>
    <w:p/>
    <w:p>
      <w:pPr>
        <w:pStyle w:val="Heading2"/>
        <w:jc w:val="left"/>
      </w:pPr>
      <w:r>
        <w:rPr>
          <w:color w:val="1E293B"/>
        </w:rPr>
        <w:t>4.6  Customer Ratings</w:t>
      </w:r>
    </w:p>
    <w:p>
      <w:r>
        <w:rPr>
          <w:b w:val="0"/>
          <w:i w:val="0"/>
          <w:sz w:val="22"/>
        </w:rPr>
        <w:t>The overall average rating is 3.99 / 5. Branch D (Bengaluru) scores highest at 4.09 while Branch A (Jaipur) scores lowest at 3.84. Across all branches ratings cluster between 3.0 and 5.0, with the median near 4.0.</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2563EB"/>
          </w:tcPr>
          <w:p>
            <w:pPr>
              <w:jc w:val="center"/>
            </w:pPr>
            <w:r>
              <w:rPr>
                <w:b/>
                <w:color w:val="FFFFFF"/>
                <w:sz w:val="20"/>
              </w:rPr>
              <w:t>Branch</w:t>
            </w:r>
          </w:p>
        </w:tc>
        <w:tc>
          <w:tcPr>
            <w:tcW w:type="dxa" w:w="4536"/>
            <w:shd w:val="clear" w:color="auto" w:fill="2563EB"/>
          </w:tcPr>
          <w:p>
            <w:pPr>
              <w:jc w:val="center"/>
            </w:pPr>
            <w:r>
              <w:rPr>
                <w:b/>
                <w:color w:val="FFFFFF"/>
                <w:sz w:val="20"/>
              </w:rPr>
              <w:t>Avg Rating</w:t>
            </w:r>
          </w:p>
        </w:tc>
      </w:tr>
      <w:tr>
        <w:tc>
          <w:tcPr>
            <w:tcW w:type="dxa" w:w="4536"/>
            <w:shd w:val="clear" w:color="auto" w:fill="EFF6FF"/>
          </w:tcPr>
          <w:p>
            <w:r>
              <w:rPr>
                <w:sz w:val="19"/>
              </w:rPr>
              <w:t>Branch A</w:t>
            </w:r>
          </w:p>
        </w:tc>
        <w:tc>
          <w:tcPr>
            <w:tcW w:type="dxa" w:w="4536"/>
            <w:shd w:val="clear" w:color="auto" w:fill="EFF6FF"/>
          </w:tcPr>
          <w:p>
            <w:r>
              <w:rPr>
                <w:sz w:val="19"/>
              </w:rPr>
              <w:t>3.84</w:t>
            </w:r>
          </w:p>
        </w:tc>
      </w:tr>
      <w:tr>
        <w:tc>
          <w:tcPr>
            <w:tcW w:type="dxa" w:w="4536"/>
          </w:tcPr>
          <w:p>
            <w:r>
              <w:rPr>
                <w:sz w:val="19"/>
              </w:rPr>
              <w:t>Branch B</w:t>
            </w:r>
          </w:p>
        </w:tc>
        <w:tc>
          <w:tcPr>
            <w:tcW w:type="dxa" w:w="4536"/>
          </w:tcPr>
          <w:p>
            <w:r>
              <w:rPr>
                <w:sz w:val="19"/>
              </w:rPr>
              <w:t>3.98</w:t>
            </w:r>
          </w:p>
        </w:tc>
      </w:tr>
      <w:tr>
        <w:tc>
          <w:tcPr>
            <w:tcW w:type="dxa" w:w="4536"/>
            <w:shd w:val="clear" w:color="auto" w:fill="EFF6FF"/>
          </w:tcPr>
          <w:p>
            <w:r>
              <w:rPr>
                <w:sz w:val="19"/>
              </w:rPr>
              <w:t>Branch C</w:t>
            </w:r>
          </w:p>
        </w:tc>
        <w:tc>
          <w:tcPr>
            <w:tcW w:type="dxa" w:w="4536"/>
            <w:shd w:val="clear" w:color="auto" w:fill="EFF6FF"/>
          </w:tcPr>
          <w:p>
            <w:r>
              <w:rPr>
                <w:sz w:val="19"/>
              </w:rPr>
              <w:t>4.05</w:t>
            </w:r>
          </w:p>
        </w:tc>
      </w:tr>
      <w:tr>
        <w:tc>
          <w:tcPr>
            <w:tcW w:type="dxa" w:w="4536"/>
          </w:tcPr>
          <w:p>
            <w:r>
              <w:rPr>
                <w:sz w:val="19"/>
              </w:rPr>
              <w:t>Branch D</w:t>
            </w:r>
          </w:p>
        </w:tc>
        <w:tc>
          <w:tcPr>
            <w:tcW w:type="dxa" w:w="4536"/>
          </w:tcPr>
          <w:p>
            <w:r>
              <w:rPr>
                <w:sz w:val="19"/>
              </w:rPr>
              <w:t>4.09</w:t>
            </w:r>
          </w:p>
        </w:tc>
      </w:tr>
    </w:tbl>
    <w:p/>
    <w:p>
      <w:pPr>
        <w:pStyle w:val="Heading1"/>
        <w:jc w:val="left"/>
      </w:pPr>
      <w:r>
        <w:rPr>
          <w:color w:val="1E293B"/>
        </w:rPr>
        <w:t>5. Streamlit Dashboard — Layout Description</w:t>
      </w:r>
    </w:p>
    <w:p>
      <w:r>
        <w:rPr>
          <w:b/>
          <w:i w:val="0"/>
          <w:sz w:val="22"/>
        </w:rPr>
        <w:t>The interactive dashboard (app.py) is structured into the following sections:</w:t>
      </w:r>
    </w:p>
    <w:p>
      <w:pPr>
        <w:pStyle w:val="ListBullet"/>
      </w:pPr>
      <w:r>
        <w:rPr>
          <w:b/>
          <w:sz w:val="21"/>
        </w:rPr>
        <w:t xml:space="preserve">Sidebar: </w:t>
      </w:r>
      <w:r>
        <w:rPr>
          <w:sz w:val="21"/>
        </w:rPr>
        <w:t>Multi-select filters for Branch, Category, Customer Type, Payment Method, and a Date Range picker. All charts react to filter changes in real time.</w:t>
      </w:r>
    </w:p>
    <w:p>
      <w:pPr>
        <w:pStyle w:val="ListBullet"/>
      </w:pPr>
      <w:r>
        <w:rPr>
          <w:b/>
          <w:sz w:val="21"/>
        </w:rPr>
        <w:t xml:space="preserve">KPI Row: </w:t>
      </w:r>
      <w:r>
        <w:rPr>
          <w:sz w:val="21"/>
        </w:rPr>
        <w:t>Six metric cards: Total Revenue, Transactions, Avg Order Value, Avg Rating, Member count, and Cities served.</w:t>
      </w:r>
    </w:p>
    <w:p>
      <w:pPr>
        <w:pStyle w:val="ListBullet"/>
      </w:pPr>
      <w:r>
        <w:rPr>
          <w:b/>
          <w:sz w:val="21"/>
        </w:rPr>
        <w:t xml:space="preserve">Product &amp; Branch: </w:t>
      </w:r>
      <w:r>
        <w:rPr>
          <w:sz w:val="21"/>
        </w:rPr>
        <w:t>Side-by-side: horizontal bar chart (Products by Sales) and grouped bar chart (Branch Revenue).</w:t>
      </w:r>
    </w:p>
    <w:p>
      <w:pPr>
        <w:pStyle w:val="ListBullet"/>
      </w:pPr>
      <w:r>
        <w:rPr>
          <w:b/>
          <w:sz w:val="21"/>
        </w:rPr>
        <w:t xml:space="preserve">Category &amp; Payment: </w:t>
      </w:r>
      <w:r>
        <w:rPr>
          <w:sz w:val="21"/>
        </w:rPr>
        <w:t>Donut pie chart (Category sales share) and bar chart (Payment transaction counts).</w:t>
      </w:r>
    </w:p>
    <w:p>
      <w:pPr>
        <w:pStyle w:val="ListBullet"/>
      </w:pPr>
      <w:r>
        <w:rPr>
          <w:b/>
          <w:sz w:val="21"/>
        </w:rPr>
        <w:t xml:space="preserve">Monthly Trend: </w:t>
      </w:r>
      <w:r>
        <w:rPr>
          <w:sz w:val="21"/>
        </w:rPr>
        <w:t>Spline line chart showing revenue month-over-month from Jan to Jul 2026.</w:t>
      </w:r>
    </w:p>
    <w:p>
      <w:pPr>
        <w:pStyle w:val="ListBullet"/>
      </w:pPr>
      <w:r>
        <w:rPr>
          <w:b/>
          <w:sz w:val="21"/>
        </w:rPr>
        <w:t xml:space="preserve">Customer Insights: </w:t>
      </w:r>
      <w:r>
        <w:rPr>
          <w:sz w:val="21"/>
        </w:rPr>
        <w:t>Three columns: Member vs Normal total spend, Gender sales split (pie), and Avg Rating by Branch.</w:t>
      </w:r>
    </w:p>
    <w:p>
      <w:pPr>
        <w:pStyle w:val="ListBullet"/>
      </w:pPr>
      <w:r>
        <w:rPr>
          <w:b/>
          <w:sz w:val="21"/>
        </w:rPr>
        <w:t xml:space="preserve">Heatmap: </w:t>
      </w:r>
      <w:r>
        <w:rPr>
          <w:sz w:val="21"/>
        </w:rPr>
        <w:t>Sales matrix heat-map crossing Category (rows) against Branch (columns).</w:t>
      </w:r>
    </w:p>
    <w:p>
      <w:pPr>
        <w:pStyle w:val="ListBullet"/>
      </w:pPr>
      <w:r>
        <w:rPr>
          <w:b/>
          <w:sz w:val="21"/>
        </w:rPr>
        <w:t xml:space="preserve">Raw Data Table: </w:t>
      </w:r>
      <w:r>
        <w:rPr>
          <w:sz w:val="21"/>
        </w:rPr>
        <w:t>Collapsible, filterable, scrollable table of all transactions.</w:t>
      </w:r>
    </w:p>
    <w:p/>
    <w:p>
      <w:pPr>
        <w:pStyle w:val="Heading1"/>
        <w:jc w:val="left"/>
      </w:pPr>
      <w:r>
        <w:rPr>
          <w:color w:val="1E293B"/>
        </w:rPr>
        <w:t>6. Recommendations</w:t>
      </w:r>
    </w:p>
    <w:p>
      <w:pPr>
        <w:pStyle w:val="ListBullet"/>
      </w:pPr>
      <w:r>
        <w:rPr>
          <w:sz w:val="21"/>
        </w:rPr>
        <w:t>Expand the Beverages and Personal Care range in Branch A (Jaipur) to close the revenue gap with Mumbai.</w:t>
      </w:r>
    </w:p>
    <w:p>
      <w:pPr>
        <w:pStyle w:val="ListBullet"/>
      </w:pPr>
      <w:r>
        <w:rPr>
          <w:sz w:val="21"/>
        </w:rPr>
        <w:t>Launch a loyalty bonus for Normal customers to encourage conversion to membership.</w:t>
      </w:r>
    </w:p>
    <w:p>
      <w:pPr>
        <w:pStyle w:val="ListBullet"/>
      </w:pPr>
      <w:r>
        <w:rPr>
          <w:sz w:val="21"/>
        </w:rPr>
        <w:t>Offer cashback on Card payments to balance the slight lag behind UPI and Net Banking.</w:t>
      </w:r>
    </w:p>
    <w:p>
      <w:pPr>
        <w:pStyle w:val="ListBullet"/>
      </w:pPr>
      <w:r>
        <w:rPr>
          <w:sz w:val="21"/>
        </w:rPr>
        <w:t>Investigate the lower ratings at Branch A and B through customer feedback surveys.</w:t>
      </w:r>
    </w:p>
    <w:p>
      <w:pPr>
        <w:pStyle w:val="ListBullet"/>
      </w:pPr>
      <w:r>
        <w:rPr>
          <w:sz w:val="21"/>
        </w:rPr>
        <w:t>Introduce seasonal promotions on Bakery items, which lag all other categories.</w:t>
      </w:r>
    </w:p>
    <w:p/>
    <w:p>
      <w:pPr>
        <w:jc w:val="center"/>
      </w:pPr>
      <w:r>
        <w:rPr>
          <w:i/>
          <w:color w:val="94A3B8"/>
          <w:sz w:val="18"/>
        </w:rPr>
        <w:t>Supermarket Sales Analysis  |  Generated with Python &amp; python-docx  |  2026</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