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46CB9" w14:textId="77777777" w:rsidR="00391125" w:rsidRPr="0072514B" w:rsidRDefault="00B25A6C">
      <w:pPr>
        <w:jc w:val="center"/>
        <w:rPr>
          <w:rFonts w:ascii="Century Gothic" w:hAnsi="Century Gothic"/>
        </w:rPr>
      </w:pPr>
      <w:r w:rsidRPr="0072514B">
        <w:rPr>
          <w:rFonts w:ascii="Century Gothic" w:hAnsi="Century Gothic"/>
          <w:b/>
          <w:color w:val="1F4E79"/>
          <w:sz w:val="36"/>
        </w:rPr>
        <w:t>Proposition d’indicateurs de contrôle interne</w:t>
      </w:r>
      <w:r w:rsidRPr="0072514B">
        <w:rPr>
          <w:rFonts w:ascii="Century Gothic" w:hAnsi="Century Gothic"/>
          <w:b/>
          <w:color w:val="1F4E79"/>
          <w:sz w:val="36"/>
        </w:rPr>
        <w:br/>
        <w:t>à partir de la base Perfect Vision</w:t>
      </w:r>
    </w:p>
    <w:p w14:paraId="09BBCD67" w14:textId="77777777" w:rsidR="00391125" w:rsidRPr="0072514B" w:rsidRDefault="00B25A6C" w:rsidP="00840905">
      <w:pPr>
        <w:pStyle w:val="Titre2"/>
        <w:numPr>
          <w:ilvl w:val="0"/>
          <w:numId w:val="10"/>
        </w:numPr>
        <w:ind w:left="426"/>
        <w:rPr>
          <w:rFonts w:ascii="Century Gothic" w:hAnsi="Century Gothic"/>
        </w:rPr>
      </w:pPr>
      <w:r w:rsidRPr="0072514B">
        <w:rPr>
          <w:rFonts w:ascii="Century Gothic" w:hAnsi="Century Gothic"/>
          <w:color w:val="2F5496"/>
        </w:rPr>
        <w:t>Opérations et traçabilité</w:t>
      </w: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538"/>
        <w:gridCol w:w="2920"/>
        <w:gridCol w:w="4826"/>
        <w:gridCol w:w="4824"/>
      </w:tblGrid>
      <w:tr w:rsidR="00391125" w:rsidRPr="0072514B" w14:paraId="4C87F974" w14:textId="77777777" w:rsidTr="00DA3FE4">
        <w:trPr>
          <w:tblHeader/>
          <w:jc w:val="center"/>
        </w:trPr>
        <w:tc>
          <w:tcPr>
            <w:tcW w:w="205" w:type="pct"/>
            <w:shd w:val="clear" w:color="auto" w:fill="1F4E79"/>
          </w:tcPr>
          <w:p w14:paraId="04C3AAE2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N°</w:t>
            </w:r>
          </w:p>
        </w:tc>
        <w:tc>
          <w:tcPr>
            <w:tcW w:w="1114" w:type="pct"/>
            <w:shd w:val="clear" w:color="auto" w:fill="1F4E79"/>
          </w:tcPr>
          <w:p w14:paraId="617F57FF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Indicateur</w:t>
            </w:r>
          </w:p>
        </w:tc>
        <w:tc>
          <w:tcPr>
            <w:tcW w:w="1841" w:type="pct"/>
            <w:shd w:val="clear" w:color="auto" w:fill="1F4E79"/>
          </w:tcPr>
          <w:p w14:paraId="6D5FBEC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Objectif</w:t>
            </w:r>
          </w:p>
        </w:tc>
        <w:tc>
          <w:tcPr>
            <w:tcW w:w="1841" w:type="pct"/>
            <w:shd w:val="clear" w:color="auto" w:fill="1F4E79"/>
          </w:tcPr>
          <w:p w14:paraId="0D27D7A1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Commentaire / lecture</w:t>
            </w:r>
          </w:p>
        </w:tc>
      </w:tr>
      <w:tr w:rsidR="00391125" w:rsidRPr="0072514B" w14:paraId="45802A93" w14:textId="77777777" w:rsidTr="00DA3FE4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1779B94D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1</w:t>
            </w:r>
          </w:p>
        </w:tc>
        <w:tc>
          <w:tcPr>
            <w:tcW w:w="1114" w:type="pct"/>
          </w:tcPr>
          <w:p w14:paraId="33C67080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Volumétrie des tables principales</w:t>
            </w:r>
          </w:p>
        </w:tc>
        <w:tc>
          <w:tcPr>
            <w:tcW w:w="1841" w:type="pct"/>
          </w:tcPr>
          <w:p w14:paraId="5ED6BACF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Donner une vue rapide du nombre de lignes disponibles dans les tables d’analyse.</w:t>
            </w:r>
          </w:p>
        </w:tc>
        <w:tc>
          <w:tcPr>
            <w:tcW w:w="1841" w:type="pct"/>
          </w:tcPr>
          <w:p w14:paraId="6EC98F02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Sert de contrôle de présence des données avant les analyses détaillées.</w:t>
            </w:r>
          </w:p>
        </w:tc>
      </w:tr>
      <w:tr w:rsidR="00391125" w:rsidRPr="0072514B" w14:paraId="39371EBE" w14:textId="77777777" w:rsidTr="00DA3FE4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60EE2424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2</w:t>
            </w:r>
          </w:p>
        </w:tc>
        <w:tc>
          <w:tcPr>
            <w:tcW w:w="1114" w:type="pct"/>
          </w:tcPr>
          <w:p w14:paraId="2AED51A5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Volumétrie des opérations par mois, source et statut annulé</w:t>
            </w:r>
          </w:p>
        </w:tc>
        <w:tc>
          <w:tcPr>
            <w:tcW w:w="1841" w:type="pct"/>
          </w:tcPr>
          <w:p w14:paraId="6D61F53D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Suivre le nombre d’opérations par mois, par source et selon le statut d’annulation.</w:t>
            </w:r>
          </w:p>
        </w:tc>
        <w:tc>
          <w:tcPr>
            <w:tcW w:w="1841" w:type="pct"/>
          </w:tcPr>
          <w:p w14:paraId="620A1E3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Permet d'identifier les pics d'activité et les mois anormaux.</w:t>
            </w:r>
          </w:p>
        </w:tc>
      </w:tr>
      <w:tr w:rsidR="00391125" w:rsidRPr="0072514B" w14:paraId="55C9EFA7" w14:textId="77777777" w:rsidTr="00DA3FE4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12A34049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3</w:t>
            </w:r>
          </w:p>
        </w:tc>
        <w:tc>
          <w:tcPr>
            <w:tcW w:w="1114" w:type="pct"/>
          </w:tcPr>
          <w:p w14:paraId="1BE5DB28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Opérations créées mais non validées</w:t>
            </w:r>
          </w:p>
        </w:tc>
        <w:tc>
          <w:tcPr>
            <w:tcW w:w="1841" w:type="pct"/>
          </w:tcPr>
          <w:p w14:paraId="5C154E91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Lister les opérations actives dont la validation est absente ou incomplète.</w:t>
            </w:r>
          </w:p>
        </w:tc>
        <w:tc>
          <w:tcPr>
            <w:tcW w:w="1841" w:type="pct"/>
          </w:tcPr>
          <w:p w14:paraId="387403F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Met en </w:t>
            </w:r>
            <w:r w:rsidR="00840905" w:rsidRPr="0072514B">
              <w:rPr>
                <w:rFonts w:ascii="Century Gothic" w:hAnsi="Century Gothic"/>
                <w:sz w:val="16"/>
              </w:rPr>
              <w:t>évidence</w:t>
            </w:r>
            <w:r w:rsidRPr="0072514B">
              <w:rPr>
                <w:rFonts w:ascii="Century Gothic" w:hAnsi="Century Gothic"/>
                <w:sz w:val="16"/>
              </w:rPr>
              <w:t xml:space="preserve"> les opérations à régulariser ou à expliquer.</w:t>
            </w:r>
          </w:p>
        </w:tc>
      </w:tr>
      <w:tr w:rsidR="00391125" w:rsidRPr="0072514B" w14:paraId="5BD363A6" w14:textId="77777777" w:rsidTr="00DA3FE4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3EFBC557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4</w:t>
            </w:r>
          </w:p>
        </w:tc>
        <w:tc>
          <w:tcPr>
            <w:tcW w:w="1114" w:type="pct"/>
          </w:tcPr>
          <w:p w14:paraId="5BCE751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Opérations saisies après la date d’opération</w:t>
            </w:r>
          </w:p>
        </w:tc>
        <w:tc>
          <w:tcPr>
            <w:tcW w:w="1841" w:type="pct"/>
          </w:tcPr>
          <w:p w14:paraId="1A6FE9ED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Détecter les opérations enregistrées après leur date effective.</w:t>
            </w:r>
          </w:p>
        </w:tc>
        <w:tc>
          <w:tcPr>
            <w:tcW w:w="1841" w:type="pct"/>
          </w:tcPr>
          <w:p w14:paraId="526DDD66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Un délai important peut signaler une saisie tardive ou un rattrapage manuel.</w:t>
            </w:r>
          </w:p>
        </w:tc>
      </w:tr>
      <w:tr w:rsidR="00391125" w:rsidRPr="0072514B" w14:paraId="0208444E" w14:textId="77777777" w:rsidTr="00DA3FE4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57A2D017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5</w:t>
            </w:r>
          </w:p>
        </w:tc>
        <w:tc>
          <w:tcPr>
            <w:tcW w:w="1114" w:type="pct"/>
          </w:tcPr>
          <w:p w14:paraId="1C15D4B4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Opérations validées avant la saisie ou avant la date d’opération</w:t>
            </w:r>
          </w:p>
        </w:tc>
        <w:tc>
          <w:tcPr>
            <w:tcW w:w="1841" w:type="pct"/>
          </w:tcPr>
          <w:p w14:paraId="0C8DC8C6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Identifier les incohérences chronologiques entre opération, saisie et validation.</w:t>
            </w:r>
          </w:p>
        </w:tc>
        <w:tc>
          <w:tcPr>
            <w:tcW w:w="1841" w:type="pct"/>
          </w:tcPr>
          <w:p w14:paraId="365BFD11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Ces cas doivent </w:t>
            </w:r>
            <w:r w:rsidR="00840905" w:rsidRPr="0072514B">
              <w:rPr>
                <w:rFonts w:ascii="Century Gothic" w:hAnsi="Century Gothic"/>
                <w:sz w:val="16"/>
              </w:rPr>
              <w:t>être</w:t>
            </w:r>
            <w:r w:rsidRPr="0072514B">
              <w:rPr>
                <w:rFonts w:ascii="Century Gothic" w:hAnsi="Century Gothic"/>
                <w:sz w:val="16"/>
              </w:rPr>
              <w:t xml:space="preserve"> </w:t>
            </w:r>
            <w:r w:rsidR="00840905" w:rsidRPr="0072514B">
              <w:rPr>
                <w:rFonts w:ascii="Century Gothic" w:hAnsi="Century Gothic"/>
                <w:sz w:val="16"/>
              </w:rPr>
              <w:t>vérifies</w:t>
            </w:r>
            <w:r w:rsidRPr="0072514B">
              <w:rPr>
                <w:rFonts w:ascii="Century Gothic" w:hAnsi="Century Gothic"/>
                <w:sz w:val="16"/>
              </w:rPr>
              <w:t xml:space="preserve"> car ils peuvent révéler un problème de </w:t>
            </w:r>
            <w:r w:rsidR="00EF64AB" w:rsidRPr="0072514B">
              <w:rPr>
                <w:rFonts w:ascii="Century Gothic" w:hAnsi="Century Gothic"/>
                <w:sz w:val="16"/>
              </w:rPr>
              <w:t>flux de travail</w:t>
            </w:r>
            <w:r w:rsidRPr="0072514B">
              <w:rPr>
                <w:rFonts w:ascii="Century Gothic" w:hAnsi="Century Gothic"/>
                <w:sz w:val="16"/>
              </w:rPr>
              <w:t xml:space="preserve"> ou de données.</w:t>
            </w:r>
          </w:p>
        </w:tc>
      </w:tr>
      <w:tr w:rsidR="00391125" w:rsidRPr="0072514B" w14:paraId="5F1DA885" w14:textId="77777777" w:rsidTr="00DA3FE4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1231109F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6</w:t>
            </w:r>
          </w:p>
        </w:tc>
        <w:tc>
          <w:tcPr>
            <w:tcW w:w="1114" w:type="pct"/>
          </w:tcPr>
          <w:p w14:paraId="7F5764A6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Opérations sans utilisateur, point de service ou type opération</w:t>
            </w:r>
          </w:p>
        </w:tc>
        <w:tc>
          <w:tcPr>
            <w:tcW w:w="1841" w:type="pct"/>
          </w:tcPr>
          <w:p w14:paraId="56BD30AF" w14:textId="77777777" w:rsidR="00391125" w:rsidRPr="0072514B" w:rsidRDefault="00840905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Repérer</w:t>
            </w:r>
            <w:r w:rsidR="00B25A6C" w:rsidRPr="0072514B">
              <w:rPr>
                <w:rFonts w:ascii="Century Gothic" w:hAnsi="Century Gothic"/>
                <w:sz w:val="16"/>
              </w:rPr>
              <w:t xml:space="preserve"> les opérations avec des champs de rattachement essentiels manquants.</w:t>
            </w:r>
          </w:p>
        </w:tc>
        <w:tc>
          <w:tcPr>
            <w:tcW w:w="1841" w:type="pct"/>
          </w:tcPr>
          <w:p w14:paraId="3301977F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Ces absences limitent la traçabilité </w:t>
            </w:r>
            <w:r w:rsidR="00840905" w:rsidRPr="0072514B">
              <w:rPr>
                <w:rFonts w:ascii="Century Gothic" w:hAnsi="Century Gothic"/>
                <w:sz w:val="16"/>
              </w:rPr>
              <w:t>opérationnelle</w:t>
            </w:r>
            <w:r w:rsidRPr="0072514B">
              <w:rPr>
                <w:rFonts w:ascii="Century Gothic" w:hAnsi="Century Gothic"/>
                <w:sz w:val="16"/>
              </w:rPr>
              <w:t xml:space="preserve"> et le reporting par agence/utilisateur.</w:t>
            </w:r>
          </w:p>
        </w:tc>
      </w:tr>
      <w:tr w:rsidR="00391125" w:rsidRPr="0072514B" w14:paraId="798A26FD" w14:textId="77777777" w:rsidTr="00DA3FE4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0FD6D7CD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7</w:t>
            </w:r>
          </w:p>
        </w:tc>
        <w:tc>
          <w:tcPr>
            <w:tcW w:w="1114" w:type="pct"/>
          </w:tcPr>
          <w:p w14:paraId="40219303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Doublons de numéro de transaction dans OPERATIONS</w:t>
            </w:r>
          </w:p>
        </w:tc>
        <w:tc>
          <w:tcPr>
            <w:tcW w:w="1841" w:type="pct"/>
          </w:tcPr>
          <w:p w14:paraId="6311B520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Détecter les numéros de transaction utilisés plusieurs fois dans le back-office.</w:t>
            </w:r>
          </w:p>
        </w:tc>
        <w:tc>
          <w:tcPr>
            <w:tcW w:w="1841" w:type="pct"/>
          </w:tcPr>
          <w:p w14:paraId="395E8110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Chaque doublon doit </w:t>
            </w:r>
            <w:r w:rsidR="008E689A" w:rsidRPr="0072514B">
              <w:rPr>
                <w:rFonts w:ascii="Century Gothic" w:hAnsi="Century Gothic"/>
                <w:sz w:val="16"/>
              </w:rPr>
              <w:t>être</w:t>
            </w:r>
            <w:r w:rsidRPr="0072514B">
              <w:rPr>
                <w:rFonts w:ascii="Century Gothic" w:hAnsi="Century Gothic"/>
                <w:sz w:val="16"/>
              </w:rPr>
              <w:t xml:space="preserve"> rapproche du métier pour distinguer cas normal, reprise ou anomalie.</w:t>
            </w:r>
          </w:p>
        </w:tc>
      </w:tr>
      <w:tr w:rsidR="00391125" w:rsidRPr="0072514B" w14:paraId="36E530B3" w14:textId="77777777" w:rsidTr="00DA3FE4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4406B27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8</w:t>
            </w:r>
          </w:p>
        </w:tc>
        <w:tc>
          <w:tcPr>
            <w:tcW w:w="1114" w:type="pct"/>
          </w:tcPr>
          <w:p w14:paraId="4FFA6BE8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Doublons de numéro de reçu dans OPERATIONS</w:t>
            </w:r>
          </w:p>
        </w:tc>
        <w:tc>
          <w:tcPr>
            <w:tcW w:w="1841" w:type="pct"/>
          </w:tcPr>
          <w:p w14:paraId="550A7ED8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Détecter les reçus partag</w:t>
            </w:r>
            <w:r w:rsidR="00260598" w:rsidRPr="0072514B">
              <w:rPr>
                <w:rFonts w:ascii="Century Gothic" w:hAnsi="Century Gothic"/>
                <w:sz w:val="16"/>
              </w:rPr>
              <w:t>é</w:t>
            </w:r>
            <w:r w:rsidRPr="0072514B">
              <w:rPr>
                <w:rFonts w:ascii="Century Gothic" w:hAnsi="Century Gothic"/>
                <w:sz w:val="16"/>
              </w:rPr>
              <w:t>s par plusieurs opérations.</w:t>
            </w:r>
          </w:p>
        </w:tc>
        <w:tc>
          <w:tcPr>
            <w:tcW w:w="1841" w:type="pct"/>
          </w:tcPr>
          <w:p w14:paraId="0EB0FCF6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Utile pour vérifier l’unicité documentaire et les risques de double comptabilisation.</w:t>
            </w:r>
          </w:p>
        </w:tc>
      </w:tr>
      <w:tr w:rsidR="00391125" w:rsidRPr="0072514B" w14:paraId="55546B0D" w14:textId="77777777" w:rsidTr="00DA3FE4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118A19DF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9</w:t>
            </w:r>
          </w:p>
        </w:tc>
        <w:tc>
          <w:tcPr>
            <w:tcW w:w="1114" w:type="pct"/>
          </w:tcPr>
          <w:p w14:paraId="7A0F477D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Doublons métier potentiels : même date, utilisateur, type, référence et description</w:t>
            </w:r>
          </w:p>
        </w:tc>
        <w:tc>
          <w:tcPr>
            <w:tcW w:w="1841" w:type="pct"/>
          </w:tcPr>
          <w:p w14:paraId="3736918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Identifier les opérations très similaires pouvant correspondre à une double saisie.</w:t>
            </w:r>
          </w:p>
        </w:tc>
        <w:tc>
          <w:tcPr>
            <w:tcW w:w="1841" w:type="pct"/>
          </w:tcPr>
          <w:p w14:paraId="437AB3E7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Le résultat doit </w:t>
            </w:r>
            <w:r w:rsidR="00412448" w:rsidRPr="0072514B">
              <w:rPr>
                <w:rFonts w:ascii="Century Gothic" w:hAnsi="Century Gothic"/>
                <w:sz w:val="16"/>
              </w:rPr>
              <w:t>être</w:t>
            </w:r>
            <w:r w:rsidRPr="0072514B">
              <w:rPr>
                <w:rFonts w:ascii="Century Gothic" w:hAnsi="Century Gothic"/>
                <w:sz w:val="16"/>
              </w:rPr>
              <w:t xml:space="preserve"> examine opération par opération avec les justificatifs.</w:t>
            </w:r>
          </w:p>
        </w:tc>
      </w:tr>
      <w:tr w:rsidR="00391125" w:rsidRPr="0072514B" w14:paraId="72790A36" w14:textId="77777777" w:rsidTr="00DA3FE4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229BAC2A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10</w:t>
            </w:r>
          </w:p>
        </w:tc>
        <w:tc>
          <w:tcPr>
            <w:tcW w:w="1114" w:type="pct"/>
          </w:tcPr>
          <w:p w14:paraId="492883F3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Opérations annulées sans opération annulée référencée</w:t>
            </w:r>
          </w:p>
        </w:tc>
        <w:tc>
          <w:tcPr>
            <w:tcW w:w="1841" w:type="pct"/>
          </w:tcPr>
          <w:p w14:paraId="325AE010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Lister les opérations </w:t>
            </w:r>
            <w:r w:rsidR="000864B0" w:rsidRPr="0072514B">
              <w:rPr>
                <w:rFonts w:ascii="Century Gothic" w:hAnsi="Century Gothic"/>
                <w:sz w:val="16"/>
              </w:rPr>
              <w:t>marquées</w:t>
            </w:r>
            <w:r w:rsidRPr="0072514B">
              <w:rPr>
                <w:rFonts w:ascii="Century Gothic" w:hAnsi="Century Gothic"/>
                <w:sz w:val="16"/>
              </w:rPr>
              <w:t xml:space="preserve"> annulées sans lien vers l’opération d’origine.</w:t>
            </w:r>
          </w:p>
        </w:tc>
        <w:tc>
          <w:tcPr>
            <w:tcW w:w="1841" w:type="pct"/>
          </w:tcPr>
          <w:p w14:paraId="63529708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Absence de référence = traçabilité d’annulation incomplète.</w:t>
            </w:r>
          </w:p>
        </w:tc>
      </w:tr>
      <w:tr w:rsidR="00391125" w:rsidRPr="0072514B" w14:paraId="42A59E46" w14:textId="77777777" w:rsidTr="00DA3FE4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2889A092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11</w:t>
            </w:r>
          </w:p>
        </w:tc>
        <w:tc>
          <w:tcPr>
            <w:tcW w:w="1114" w:type="pct"/>
          </w:tcPr>
          <w:p w14:paraId="42E1CAB2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Opérations référencées comme annulées mais introuvables</w:t>
            </w:r>
          </w:p>
        </w:tc>
        <w:tc>
          <w:tcPr>
            <w:tcW w:w="1841" w:type="pct"/>
          </w:tcPr>
          <w:p w14:paraId="6B29D758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Vérifier que les références d’annulation pointent vers une opération existante.</w:t>
            </w:r>
          </w:p>
        </w:tc>
        <w:tc>
          <w:tcPr>
            <w:tcW w:w="1841" w:type="pct"/>
          </w:tcPr>
          <w:p w14:paraId="3F372C27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Les lignes </w:t>
            </w:r>
            <w:r w:rsidR="00012E3B" w:rsidRPr="0072514B">
              <w:rPr>
                <w:rFonts w:ascii="Century Gothic" w:hAnsi="Century Gothic"/>
                <w:sz w:val="16"/>
              </w:rPr>
              <w:t>retournées</w:t>
            </w:r>
            <w:r w:rsidRPr="0072514B">
              <w:rPr>
                <w:rFonts w:ascii="Century Gothic" w:hAnsi="Century Gothic"/>
                <w:sz w:val="16"/>
              </w:rPr>
              <w:t xml:space="preserve"> indiquent des liens rompus ou des données manquantes.</w:t>
            </w:r>
          </w:p>
        </w:tc>
      </w:tr>
    </w:tbl>
    <w:p w14:paraId="66B5AF8E" w14:textId="77777777" w:rsidR="00391125" w:rsidRPr="0072514B" w:rsidRDefault="00391125">
      <w:pPr>
        <w:rPr>
          <w:rFonts w:ascii="Century Gothic" w:hAnsi="Century Gothic"/>
        </w:rPr>
      </w:pPr>
    </w:p>
    <w:p w14:paraId="631CC967" w14:textId="77777777" w:rsidR="00391125" w:rsidRPr="0072514B" w:rsidRDefault="00B25A6C" w:rsidP="00B75D44">
      <w:pPr>
        <w:pStyle w:val="Titre2"/>
        <w:numPr>
          <w:ilvl w:val="0"/>
          <w:numId w:val="10"/>
        </w:numPr>
        <w:ind w:left="426"/>
        <w:rPr>
          <w:rFonts w:ascii="Century Gothic" w:hAnsi="Century Gothic"/>
        </w:rPr>
      </w:pPr>
      <w:r w:rsidRPr="0072514B">
        <w:rPr>
          <w:rFonts w:ascii="Century Gothic" w:hAnsi="Century Gothic"/>
          <w:color w:val="2F5496"/>
        </w:rPr>
        <w:t>Comptabilité et rapprochements</w:t>
      </w: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538"/>
        <w:gridCol w:w="2920"/>
        <w:gridCol w:w="4826"/>
        <w:gridCol w:w="4824"/>
      </w:tblGrid>
      <w:tr w:rsidR="00391125" w:rsidRPr="0072514B" w14:paraId="325E37B8" w14:textId="77777777" w:rsidTr="00DA3FE4">
        <w:trPr>
          <w:tblHeader/>
          <w:jc w:val="center"/>
        </w:trPr>
        <w:tc>
          <w:tcPr>
            <w:tcW w:w="205" w:type="pct"/>
            <w:shd w:val="clear" w:color="auto" w:fill="1F4E79"/>
          </w:tcPr>
          <w:p w14:paraId="6267670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N°</w:t>
            </w:r>
          </w:p>
        </w:tc>
        <w:tc>
          <w:tcPr>
            <w:tcW w:w="1114" w:type="pct"/>
            <w:shd w:val="clear" w:color="auto" w:fill="1F4E79"/>
          </w:tcPr>
          <w:p w14:paraId="33E980D8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Indicateur</w:t>
            </w:r>
          </w:p>
        </w:tc>
        <w:tc>
          <w:tcPr>
            <w:tcW w:w="1841" w:type="pct"/>
            <w:shd w:val="clear" w:color="auto" w:fill="1F4E79"/>
          </w:tcPr>
          <w:p w14:paraId="2000A282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Objectif</w:t>
            </w:r>
          </w:p>
        </w:tc>
        <w:tc>
          <w:tcPr>
            <w:tcW w:w="1841" w:type="pct"/>
            <w:shd w:val="clear" w:color="auto" w:fill="1F4E79"/>
          </w:tcPr>
          <w:p w14:paraId="53670601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Commentaire / lecture</w:t>
            </w:r>
          </w:p>
        </w:tc>
      </w:tr>
      <w:tr w:rsidR="00391125" w:rsidRPr="0072514B" w14:paraId="2E8E1C44" w14:textId="77777777" w:rsidTr="00DA3FE4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638C6223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12</w:t>
            </w:r>
          </w:p>
        </w:tc>
        <w:tc>
          <w:tcPr>
            <w:tcW w:w="1114" w:type="pct"/>
          </w:tcPr>
          <w:p w14:paraId="1B9DBFD2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HDPM sans opération back-office correspondante</w:t>
            </w:r>
          </w:p>
        </w:tc>
        <w:tc>
          <w:tcPr>
            <w:tcW w:w="1841" w:type="pct"/>
          </w:tcPr>
          <w:p w14:paraId="0DD48C5F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Détecter les écritures comptables HDPM rattachées à une opération inexistante.</w:t>
            </w:r>
          </w:p>
        </w:tc>
        <w:tc>
          <w:tcPr>
            <w:tcW w:w="1841" w:type="pct"/>
          </w:tcPr>
          <w:p w14:paraId="2E19CB04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Ces cas doivent </w:t>
            </w:r>
            <w:r w:rsidR="00993552" w:rsidRPr="0072514B">
              <w:rPr>
                <w:rFonts w:ascii="Century Gothic" w:hAnsi="Century Gothic"/>
                <w:sz w:val="16"/>
              </w:rPr>
              <w:t>être</w:t>
            </w:r>
            <w:r w:rsidRPr="0072514B">
              <w:rPr>
                <w:rFonts w:ascii="Century Gothic" w:hAnsi="Century Gothic"/>
                <w:sz w:val="16"/>
              </w:rPr>
              <w:t xml:space="preserve"> expliqu</w:t>
            </w:r>
            <w:r w:rsidR="00993552" w:rsidRPr="0072514B">
              <w:rPr>
                <w:rFonts w:ascii="Century Gothic" w:hAnsi="Century Gothic"/>
                <w:sz w:val="16"/>
              </w:rPr>
              <w:t>é</w:t>
            </w:r>
            <w:r w:rsidRPr="0072514B">
              <w:rPr>
                <w:rFonts w:ascii="Century Gothic" w:hAnsi="Century Gothic"/>
                <w:sz w:val="16"/>
              </w:rPr>
              <w:t>s car ils cassent le lien opération-</w:t>
            </w:r>
            <w:r w:rsidR="00993552" w:rsidRPr="0072514B">
              <w:rPr>
                <w:rFonts w:ascii="Century Gothic" w:hAnsi="Century Gothic"/>
                <w:sz w:val="16"/>
              </w:rPr>
              <w:t>comptabilité</w:t>
            </w:r>
            <w:r w:rsidRPr="0072514B">
              <w:rPr>
                <w:rFonts w:ascii="Century Gothic" w:hAnsi="Century Gothic"/>
                <w:sz w:val="16"/>
              </w:rPr>
              <w:t>.</w:t>
            </w:r>
          </w:p>
        </w:tc>
      </w:tr>
      <w:tr w:rsidR="00391125" w:rsidRPr="0072514B" w14:paraId="7878C1F1" w14:textId="77777777" w:rsidTr="00DA3FE4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1CDF1EF1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13</w:t>
            </w:r>
          </w:p>
        </w:tc>
        <w:tc>
          <w:tcPr>
            <w:tcW w:w="1114" w:type="pct"/>
          </w:tcPr>
          <w:p w14:paraId="36B2CCE8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Opérations back-office sans écriture HDPM</w:t>
            </w:r>
          </w:p>
        </w:tc>
        <w:tc>
          <w:tcPr>
            <w:tcW w:w="1841" w:type="pct"/>
          </w:tcPr>
          <w:p w14:paraId="046BB375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Identifier les opérations actives sans impact comptable retrouve dans HDPM.</w:t>
            </w:r>
          </w:p>
        </w:tc>
        <w:tc>
          <w:tcPr>
            <w:tcW w:w="1841" w:type="pct"/>
          </w:tcPr>
          <w:p w14:paraId="32D03472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Utile pour vérifier l’</w:t>
            </w:r>
            <w:r w:rsidR="004D21BA" w:rsidRPr="0072514B">
              <w:rPr>
                <w:rFonts w:ascii="Century Gothic" w:hAnsi="Century Gothic"/>
                <w:sz w:val="16"/>
              </w:rPr>
              <w:t>exhaustivité</w:t>
            </w:r>
            <w:r w:rsidRPr="0072514B">
              <w:rPr>
                <w:rFonts w:ascii="Century Gothic" w:hAnsi="Century Gothic"/>
                <w:sz w:val="16"/>
              </w:rPr>
              <w:t xml:space="preserve"> de la comptabilisation.</w:t>
            </w:r>
          </w:p>
        </w:tc>
      </w:tr>
      <w:tr w:rsidR="00391125" w:rsidRPr="0072514B" w14:paraId="668F4075" w14:textId="77777777" w:rsidTr="00DA3FE4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4BB53429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14</w:t>
            </w:r>
          </w:p>
        </w:tc>
        <w:tc>
          <w:tcPr>
            <w:tcW w:w="1114" w:type="pct"/>
          </w:tcPr>
          <w:p w14:paraId="019EDB3F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Équilibre débit/crédit par opération dans HDPM</w:t>
            </w:r>
          </w:p>
        </w:tc>
        <w:tc>
          <w:tcPr>
            <w:tcW w:w="1841" w:type="pct"/>
          </w:tcPr>
          <w:p w14:paraId="464DA4E7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Contrôler que les écritures back-office sont équilibrées entre débit et crédit.</w:t>
            </w:r>
          </w:p>
        </w:tc>
        <w:tc>
          <w:tcPr>
            <w:tcW w:w="1841" w:type="pct"/>
          </w:tcPr>
          <w:p w14:paraId="2BBC016B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Un écart non nul signale une anomalie comptable potentielle.</w:t>
            </w:r>
          </w:p>
        </w:tc>
      </w:tr>
      <w:tr w:rsidR="00391125" w:rsidRPr="0072514B" w14:paraId="5A7635A3" w14:textId="77777777" w:rsidTr="00DA3FE4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20A8B97F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15</w:t>
            </w:r>
          </w:p>
        </w:tc>
        <w:tc>
          <w:tcPr>
            <w:tcW w:w="1114" w:type="pct"/>
          </w:tcPr>
          <w:p w14:paraId="03E113AF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Équilibre débit/crédit par opération dans HDPM_API</w:t>
            </w:r>
          </w:p>
        </w:tc>
        <w:tc>
          <w:tcPr>
            <w:tcW w:w="1841" w:type="pct"/>
          </w:tcPr>
          <w:p w14:paraId="6CBCCC2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Contrôler l’équilibre débit/crédit des écritures issues de l’API mobile.</w:t>
            </w:r>
          </w:p>
        </w:tc>
        <w:tc>
          <w:tcPr>
            <w:tcW w:w="1841" w:type="pct"/>
          </w:tcPr>
          <w:p w14:paraId="21F1F5FA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Chaque opération mobile devrait </w:t>
            </w:r>
            <w:r w:rsidR="00951C75" w:rsidRPr="0072514B">
              <w:rPr>
                <w:rFonts w:ascii="Century Gothic" w:hAnsi="Century Gothic"/>
                <w:sz w:val="16"/>
              </w:rPr>
              <w:t>généralement</w:t>
            </w:r>
            <w:r w:rsidRPr="0072514B">
              <w:rPr>
                <w:rFonts w:ascii="Century Gothic" w:hAnsi="Century Gothic"/>
                <w:sz w:val="16"/>
              </w:rPr>
              <w:t xml:space="preserve"> avoir une paire débit/crédit équilibrée.</w:t>
            </w:r>
          </w:p>
        </w:tc>
      </w:tr>
      <w:tr w:rsidR="00391125" w:rsidRPr="0072514B" w14:paraId="2555EB88" w14:textId="77777777" w:rsidTr="00DA3FE4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03F48270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lastRenderedPageBreak/>
              <w:t>16</w:t>
            </w:r>
          </w:p>
        </w:tc>
        <w:tc>
          <w:tcPr>
            <w:tcW w:w="1114" w:type="pct"/>
          </w:tcPr>
          <w:p w14:paraId="563CBC75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Lignes HDPM avec montant nul, négatif ou sens absent</w:t>
            </w:r>
          </w:p>
        </w:tc>
        <w:tc>
          <w:tcPr>
            <w:tcW w:w="1841" w:type="pct"/>
          </w:tcPr>
          <w:p w14:paraId="7316B010" w14:textId="77777777" w:rsidR="00391125" w:rsidRPr="0072514B" w:rsidRDefault="00A779C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Repérer</w:t>
            </w:r>
            <w:r w:rsidR="00B25A6C" w:rsidRPr="0072514B">
              <w:rPr>
                <w:rFonts w:ascii="Century Gothic" w:hAnsi="Century Gothic"/>
                <w:sz w:val="16"/>
              </w:rPr>
              <w:t xml:space="preserve"> les écritures comptables dont les montants ou le sens sont invalides/incomplets.</w:t>
            </w:r>
          </w:p>
        </w:tc>
        <w:tc>
          <w:tcPr>
            <w:tcW w:w="1841" w:type="pct"/>
          </w:tcPr>
          <w:p w14:paraId="486D54AA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Ces lignes sont prioritaires pour contrôle de qualité des données comptables.</w:t>
            </w:r>
          </w:p>
        </w:tc>
      </w:tr>
      <w:tr w:rsidR="00391125" w:rsidRPr="0072514B" w14:paraId="03B1B89A" w14:textId="77777777" w:rsidTr="00DA3FE4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6C3977DA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17</w:t>
            </w:r>
          </w:p>
        </w:tc>
        <w:tc>
          <w:tcPr>
            <w:tcW w:w="1114" w:type="pct"/>
          </w:tcPr>
          <w:p w14:paraId="73B7CFEB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Ecritures comptables avec date valeur différente de la date opération</w:t>
            </w:r>
          </w:p>
        </w:tc>
        <w:tc>
          <w:tcPr>
            <w:tcW w:w="1841" w:type="pct"/>
          </w:tcPr>
          <w:p w14:paraId="6DB04F99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Lister les écritures dont la date valeur </w:t>
            </w:r>
            <w:r w:rsidR="008F41E2" w:rsidRPr="0072514B">
              <w:rPr>
                <w:rFonts w:ascii="Century Gothic" w:hAnsi="Century Gothic"/>
                <w:sz w:val="16"/>
              </w:rPr>
              <w:t>diffère</w:t>
            </w:r>
            <w:r w:rsidRPr="0072514B">
              <w:rPr>
                <w:rFonts w:ascii="Century Gothic" w:hAnsi="Century Gothic"/>
                <w:sz w:val="16"/>
              </w:rPr>
              <w:t xml:space="preserve"> de la date d’opération.</w:t>
            </w:r>
          </w:p>
        </w:tc>
        <w:tc>
          <w:tcPr>
            <w:tcW w:w="1841" w:type="pct"/>
          </w:tcPr>
          <w:p w14:paraId="1FEA89B5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Un écart important peut </w:t>
            </w:r>
            <w:r w:rsidR="00F25DBD" w:rsidRPr="0072514B">
              <w:rPr>
                <w:rFonts w:ascii="Century Gothic" w:hAnsi="Century Gothic"/>
                <w:sz w:val="16"/>
              </w:rPr>
              <w:t>être</w:t>
            </w:r>
            <w:r w:rsidRPr="0072514B">
              <w:rPr>
                <w:rFonts w:ascii="Century Gothic" w:hAnsi="Century Gothic"/>
                <w:sz w:val="16"/>
              </w:rPr>
              <w:t xml:space="preserve"> normal mais doit </w:t>
            </w:r>
            <w:r w:rsidR="00F25DBD" w:rsidRPr="0072514B">
              <w:rPr>
                <w:rFonts w:ascii="Century Gothic" w:hAnsi="Century Gothic"/>
                <w:sz w:val="16"/>
              </w:rPr>
              <w:t>être</w:t>
            </w:r>
            <w:r w:rsidRPr="0072514B">
              <w:rPr>
                <w:rFonts w:ascii="Century Gothic" w:hAnsi="Century Gothic"/>
                <w:sz w:val="16"/>
              </w:rPr>
              <w:t xml:space="preserve"> justifie selon la </w:t>
            </w:r>
            <w:r w:rsidR="00F25DBD" w:rsidRPr="0072514B">
              <w:rPr>
                <w:rFonts w:ascii="Century Gothic" w:hAnsi="Century Gothic"/>
                <w:sz w:val="16"/>
              </w:rPr>
              <w:t>procédure</w:t>
            </w:r>
            <w:r w:rsidRPr="0072514B">
              <w:rPr>
                <w:rFonts w:ascii="Century Gothic" w:hAnsi="Century Gothic"/>
                <w:sz w:val="16"/>
              </w:rPr>
              <w:t>.</w:t>
            </w:r>
          </w:p>
        </w:tc>
      </w:tr>
      <w:tr w:rsidR="00391125" w:rsidRPr="0072514B" w14:paraId="543C1F48" w14:textId="77777777" w:rsidTr="00DA3FE4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5403A93C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18</w:t>
            </w:r>
          </w:p>
        </w:tc>
        <w:tc>
          <w:tcPr>
            <w:tcW w:w="1114" w:type="pct"/>
          </w:tcPr>
          <w:p w14:paraId="2B8052F7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Mouvements HDPM sans compte ou avec compte inexistant</w:t>
            </w:r>
          </w:p>
        </w:tc>
        <w:tc>
          <w:tcPr>
            <w:tcW w:w="1841" w:type="pct"/>
          </w:tcPr>
          <w:p w14:paraId="74FBA458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Vérifier le rattachement de chaque écriture à un compte existant.</w:t>
            </w:r>
          </w:p>
        </w:tc>
        <w:tc>
          <w:tcPr>
            <w:tcW w:w="1841" w:type="pct"/>
          </w:tcPr>
          <w:p w14:paraId="74DCC345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Les lignes </w:t>
            </w:r>
            <w:r w:rsidR="00CC3ABA" w:rsidRPr="0072514B">
              <w:rPr>
                <w:rFonts w:ascii="Century Gothic" w:hAnsi="Century Gothic"/>
                <w:sz w:val="16"/>
              </w:rPr>
              <w:t>retournées</w:t>
            </w:r>
            <w:r w:rsidRPr="0072514B">
              <w:rPr>
                <w:rFonts w:ascii="Century Gothic" w:hAnsi="Century Gothic"/>
                <w:sz w:val="16"/>
              </w:rPr>
              <w:t xml:space="preserve"> indiquent un problème de </w:t>
            </w:r>
            <w:r w:rsidR="00CC3ABA" w:rsidRPr="0072514B">
              <w:rPr>
                <w:rFonts w:ascii="Century Gothic" w:hAnsi="Century Gothic"/>
                <w:sz w:val="16"/>
              </w:rPr>
              <w:t>référentiel</w:t>
            </w:r>
            <w:r w:rsidRPr="0072514B">
              <w:rPr>
                <w:rFonts w:ascii="Century Gothic" w:hAnsi="Century Gothic"/>
                <w:sz w:val="16"/>
              </w:rPr>
              <w:t xml:space="preserve"> compte.</w:t>
            </w:r>
          </w:p>
        </w:tc>
      </w:tr>
      <w:tr w:rsidR="00391125" w:rsidRPr="0072514B" w14:paraId="79B008F6" w14:textId="77777777" w:rsidTr="00DA3FE4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2188F8A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19</w:t>
            </w:r>
          </w:p>
        </w:tc>
        <w:tc>
          <w:tcPr>
            <w:tcW w:w="1114" w:type="pct"/>
          </w:tcPr>
          <w:p w14:paraId="1EB8F7CA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Mouvements sur comptes clôturés/inactifs selon ETAT</w:t>
            </w:r>
          </w:p>
        </w:tc>
        <w:tc>
          <w:tcPr>
            <w:tcW w:w="1841" w:type="pct"/>
          </w:tcPr>
          <w:p w14:paraId="3906CC49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Détecter les mouvements pass</w:t>
            </w:r>
            <w:r w:rsidR="0001129B" w:rsidRPr="0072514B">
              <w:rPr>
                <w:rFonts w:ascii="Century Gothic" w:hAnsi="Century Gothic"/>
                <w:sz w:val="16"/>
              </w:rPr>
              <w:t>é</w:t>
            </w:r>
            <w:r w:rsidRPr="0072514B">
              <w:rPr>
                <w:rFonts w:ascii="Century Gothic" w:hAnsi="Century Gothic"/>
                <w:sz w:val="16"/>
              </w:rPr>
              <w:t>s sur des comptes dont l’</w:t>
            </w:r>
            <w:r w:rsidR="0001129B" w:rsidRPr="0072514B">
              <w:rPr>
                <w:rFonts w:ascii="Century Gothic" w:hAnsi="Century Gothic"/>
                <w:sz w:val="16"/>
              </w:rPr>
              <w:t>état</w:t>
            </w:r>
            <w:r w:rsidRPr="0072514B">
              <w:rPr>
                <w:rFonts w:ascii="Century Gothic" w:hAnsi="Century Gothic"/>
                <w:sz w:val="16"/>
              </w:rPr>
              <w:t xml:space="preserve"> n’est pas actif/ouvert.</w:t>
            </w:r>
          </w:p>
        </w:tc>
        <w:tc>
          <w:tcPr>
            <w:tcW w:w="1841" w:type="pct"/>
          </w:tcPr>
          <w:p w14:paraId="54D7E66F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Ces mouvements doivent </w:t>
            </w:r>
            <w:r w:rsidR="000434E3" w:rsidRPr="0072514B">
              <w:rPr>
                <w:rFonts w:ascii="Century Gothic" w:hAnsi="Century Gothic"/>
                <w:sz w:val="16"/>
              </w:rPr>
              <w:t>être</w:t>
            </w:r>
            <w:r w:rsidRPr="0072514B">
              <w:rPr>
                <w:rFonts w:ascii="Century Gothic" w:hAnsi="Century Gothic"/>
                <w:sz w:val="16"/>
              </w:rPr>
              <w:t xml:space="preserve"> justifies ou corriges selon le statut du compte.</w:t>
            </w:r>
          </w:p>
        </w:tc>
      </w:tr>
      <w:tr w:rsidR="00391125" w:rsidRPr="0072514B" w14:paraId="4DD311AE" w14:textId="77777777" w:rsidTr="00DA3FE4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7154C0FF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20</w:t>
            </w:r>
          </w:p>
        </w:tc>
        <w:tc>
          <w:tcPr>
            <w:tcW w:w="1114" w:type="pct"/>
          </w:tcPr>
          <w:p w14:paraId="5B7CEBC0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Rapprochement OPERATIONS vs OPERATIONS_API par NUM_TRANSACTION</w:t>
            </w:r>
          </w:p>
        </w:tc>
        <w:tc>
          <w:tcPr>
            <w:tcW w:w="1841" w:type="pct"/>
          </w:tcPr>
          <w:p w14:paraId="626CFAF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Comparer les opérations back-office et API sur les références communes.</w:t>
            </w:r>
          </w:p>
        </w:tc>
        <w:tc>
          <w:tcPr>
            <w:tcW w:w="1841" w:type="pct"/>
          </w:tcPr>
          <w:p w14:paraId="09E5BEBD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Signale les absences ou différences de date, reçu, point de service ou type opération.</w:t>
            </w:r>
          </w:p>
        </w:tc>
      </w:tr>
      <w:tr w:rsidR="00391125" w:rsidRPr="0072514B" w14:paraId="77013C7B" w14:textId="77777777" w:rsidTr="00DA3FE4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355A22D1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21</w:t>
            </w:r>
          </w:p>
        </w:tc>
        <w:tc>
          <w:tcPr>
            <w:tcW w:w="1114" w:type="pct"/>
          </w:tcPr>
          <w:p w14:paraId="5DF68743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Rapprochement des totaux HDPM vs HDPM_API par référence opération</w:t>
            </w:r>
          </w:p>
        </w:tc>
        <w:tc>
          <w:tcPr>
            <w:tcW w:w="1841" w:type="pct"/>
          </w:tcPr>
          <w:p w14:paraId="55AFFF4A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Comparer les volumes et montants comptables entre HDPM et HDPM_API.</w:t>
            </w:r>
          </w:p>
        </w:tc>
        <w:tc>
          <w:tcPr>
            <w:tcW w:w="1841" w:type="pct"/>
          </w:tcPr>
          <w:p w14:paraId="5BE18D94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Met en </w:t>
            </w:r>
            <w:r w:rsidR="00DC7B53" w:rsidRPr="0072514B">
              <w:rPr>
                <w:rFonts w:ascii="Century Gothic" w:hAnsi="Century Gothic"/>
                <w:sz w:val="16"/>
              </w:rPr>
              <w:t>évidence</w:t>
            </w:r>
            <w:r w:rsidRPr="0072514B">
              <w:rPr>
                <w:rFonts w:ascii="Century Gothic" w:hAnsi="Century Gothic"/>
                <w:sz w:val="16"/>
              </w:rPr>
              <w:t xml:space="preserve"> les opérations </w:t>
            </w:r>
            <w:r w:rsidR="00DC7B53" w:rsidRPr="0072514B">
              <w:rPr>
                <w:rFonts w:ascii="Century Gothic" w:hAnsi="Century Gothic"/>
                <w:sz w:val="16"/>
              </w:rPr>
              <w:t>présentes</w:t>
            </w:r>
            <w:r w:rsidRPr="0072514B">
              <w:rPr>
                <w:rFonts w:ascii="Century Gothic" w:hAnsi="Century Gothic"/>
                <w:sz w:val="16"/>
              </w:rPr>
              <w:t xml:space="preserve"> dans une source mais pas l’autre ou avec écarts.</w:t>
            </w:r>
          </w:p>
        </w:tc>
      </w:tr>
    </w:tbl>
    <w:p w14:paraId="057A3319" w14:textId="77777777" w:rsidR="00391125" w:rsidRPr="0072514B" w:rsidRDefault="00391125">
      <w:pPr>
        <w:rPr>
          <w:rFonts w:ascii="Century Gothic" w:hAnsi="Century Gothic"/>
        </w:rPr>
      </w:pPr>
    </w:p>
    <w:p w14:paraId="3C06F5A9" w14:textId="77777777" w:rsidR="00391125" w:rsidRPr="0072514B" w:rsidRDefault="00B25A6C" w:rsidP="00335A3A">
      <w:pPr>
        <w:pStyle w:val="Titre2"/>
        <w:numPr>
          <w:ilvl w:val="0"/>
          <w:numId w:val="10"/>
        </w:numPr>
        <w:ind w:left="426"/>
        <w:rPr>
          <w:rFonts w:ascii="Century Gothic" w:hAnsi="Century Gothic"/>
        </w:rPr>
      </w:pPr>
      <w:r w:rsidRPr="0072514B">
        <w:rPr>
          <w:rFonts w:ascii="Century Gothic" w:hAnsi="Century Gothic"/>
          <w:color w:val="2F5496"/>
        </w:rPr>
        <w:t>Utilisateurs et séparation des tâches</w:t>
      </w: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538"/>
        <w:gridCol w:w="2920"/>
        <w:gridCol w:w="4826"/>
        <w:gridCol w:w="4824"/>
      </w:tblGrid>
      <w:tr w:rsidR="00391125" w:rsidRPr="0072514B" w14:paraId="36C8D526" w14:textId="77777777" w:rsidTr="003226A0">
        <w:trPr>
          <w:tblHeader/>
          <w:jc w:val="center"/>
        </w:trPr>
        <w:tc>
          <w:tcPr>
            <w:tcW w:w="205" w:type="pct"/>
            <w:shd w:val="clear" w:color="auto" w:fill="1F4E79"/>
          </w:tcPr>
          <w:p w14:paraId="720B3B58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N°</w:t>
            </w:r>
          </w:p>
        </w:tc>
        <w:tc>
          <w:tcPr>
            <w:tcW w:w="1114" w:type="pct"/>
            <w:shd w:val="clear" w:color="auto" w:fill="1F4E79"/>
          </w:tcPr>
          <w:p w14:paraId="33F08ED6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Indicateur</w:t>
            </w:r>
          </w:p>
        </w:tc>
        <w:tc>
          <w:tcPr>
            <w:tcW w:w="1841" w:type="pct"/>
            <w:shd w:val="clear" w:color="auto" w:fill="1F4E79"/>
          </w:tcPr>
          <w:p w14:paraId="2EA488ED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Objectif</w:t>
            </w:r>
          </w:p>
        </w:tc>
        <w:tc>
          <w:tcPr>
            <w:tcW w:w="1841" w:type="pct"/>
            <w:shd w:val="clear" w:color="auto" w:fill="1F4E79"/>
          </w:tcPr>
          <w:p w14:paraId="7925B620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Commentaire / lecture</w:t>
            </w:r>
          </w:p>
        </w:tc>
      </w:tr>
      <w:tr w:rsidR="00391125" w:rsidRPr="0072514B" w14:paraId="5B8CD376" w14:textId="77777777" w:rsidTr="003226A0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51A5DF75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22</w:t>
            </w:r>
          </w:p>
        </w:tc>
        <w:tc>
          <w:tcPr>
            <w:tcW w:w="1114" w:type="pct"/>
          </w:tcPr>
          <w:p w14:paraId="637A5E5F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Opérations par utilisateur avec volumes et délais moyens</w:t>
            </w:r>
          </w:p>
        </w:tc>
        <w:tc>
          <w:tcPr>
            <w:tcW w:w="1841" w:type="pct"/>
          </w:tcPr>
          <w:p w14:paraId="68835EAA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Mesurer l’activité et les délais moyens de saisie par utilisateur.</w:t>
            </w:r>
          </w:p>
        </w:tc>
        <w:tc>
          <w:tcPr>
            <w:tcW w:w="1841" w:type="pct"/>
          </w:tcPr>
          <w:p w14:paraId="12D39F24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Aide à </w:t>
            </w:r>
            <w:r w:rsidR="00500881" w:rsidRPr="0072514B">
              <w:rPr>
                <w:rFonts w:ascii="Century Gothic" w:hAnsi="Century Gothic"/>
                <w:sz w:val="16"/>
              </w:rPr>
              <w:t>repérer</w:t>
            </w:r>
            <w:r w:rsidRPr="0072514B">
              <w:rPr>
                <w:rFonts w:ascii="Century Gothic" w:hAnsi="Century Gothic"/>
                <w:sz w:val="16"/>
              </w:rPr>
              <w:t xml:space="preserve"> les profils atypiques ou les besoins de supervision.</w:t>
            </w:r>
          </w:p>
        </w:tc>
      </w:tr>
      <w:tr w:rsidR="00391125" w:rsidRPr="0072514B" w14:paraId="4D5F4592" w14:textId="77777777" w:rsidTr="003226A0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4499363A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23</w:t>
            </w:r>
          </w:p>
        </w:tc>
        <w:tc>
          <w:tcPr>
            <w:tcW w:w="1114" w:type="pct"/>
          </w:tcPr>
          <w:p w14:paraId="44C2192D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Opérations saisies et validées par le même utilisateur</w:t>
            </w:r>
          </w:p>
        </w:tc>
        <w:tc>
          <w:tcPr>
            <w:tcW w:w="1841" w:type="pct"/>
          </w:tcPr>
          <w:p w14:paraId="654C9F79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Détecter les cas d'</w:t>
            </w:r>
            <w:r w:rsidR="002D2CE0" w:rsidRPr="0072514B">
              <w:rPr>
                <w:rFonts w:ascii="Century Gothic" w:hAnsi="Century Gothic"/>
                <w:sz w:val="16"/>
              </w:rPr>
              <w:t>auto-validassions</w:t>
            </w:r>
            <w:r w:rsidRPr="0072514B">
              <w:rPr>
                <w:rFonts w:ascii="Century Gothic" w:hAnsi="Century Gothic"/>
                <w:sz w:val="16"/>
              </w:rPr>
              <w:t>.</w:t>
            </w:r>
          </w:p>
        </w:tc>
        <w:tc>
          <w:tcPr>
            <w:tcW w:w="1841" w:type="pct"/>
          </w:tcPr>
          <w:p w14:paraId="478ED3C7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Utile pour vérifier la séparation des tâches et les habilitations.</w:t>
            </w:r>
          </w:p>
        </w:tc>
      </w:tr>
    </w:tbl>
    <w:p w14:paraId="5AFCC86E" w14:textId="77777777" w:rsidR="00391125" w:rsidRPr="0072514B" w:rsidRDefault="00B25A6C" w:rsidP="00795A7C">
      <w:pPr>
        <w:pStyle w:val="Titre2"/>
        <w:numPr>
          <w:ilvl w:val="0"/>
          <w:numId w:val="10"/>
        </w:numPr>
        <w:ind w:left="426"/>
        <w:rPr>
          <w:rFonts w:ascii="Century Gothic" w:hAnsi="Century Gothic"/>
        </w:rPr>
      </w:pPr>
      <w:r w:rsidRPr="0072514B">
        <w:rPr>
          <w:rFonts w:ascii="Century Gothic" w:hAnsi="Century Gothic"/>
          <w:color w:val="2F5496"/>
        </w:rPr>
        <w:t xml:space="preserve">Adhérents, KYC et </w:t>
      </w:r>
      <w:r w:rsidR="00AF5FD5" w:rsidRPr="0072514B">
        <w:rPr>
          <w:rFonts w:ascii="Century Gothic" w:hAnsi="Century Gothic"/>
          <w:color w:val="2F5496"/>
        </w:rPr>
        <w:t>qualité référentielle</w:t>
      </w: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538"/>
        <w:gridCol w:w="2920"/>
        <w:gridCol w:w="4826"/>
        <w:gridCol w:w="4824"/>
      </w:tblGrid>
      <w:tr w:rsidR="00391125" w:rsidRPr="0072514B" w14:paraId="70ABEA9B" w14:textId="77777777" w:rsidTr="001D5546">
        <w:trPr>
          <w:tblHeader/>
          <w:jc w:val="center"/>
        </w:trPr>
        <w:tc>
          <w:tcPr>
            <w:tcW w:w="205" w:type="pct"/>
            <w:shd w:val="clear" w:color="auto" w:fill="1F4E79"/>
          </w:tcPr>
          <w:p w14:paraId="2EA20E5C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N°</w:t>
            </w:r>
          </w:p>
        </w:tc>
        <w:tc>
          <w:tcPr>
            <w:tcW w:w="1114" w:type="pct"/>
            <w:shd w:val="clear" w:color="auto" w:fill="1F4E79"/>
          </w:tcPr>
          <w:p w14:paraId="1A0DB691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Indicateur</w:t>
            </w:r>
          </w:p>
        </w:tc>
        <w:tc>
          <w:tcPr>
            <w:tcW w:w="1841" w:type="pct"/>
            <w:shd w:val="clear" w:color="auto" w:fill="1F4E79"/>
          </w:tcPr>
          <w:p w14:paraId="1B2195AC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Objectif</w:t>
            </w:r>
          </w:p>
        </w:tc>
        <w:tc>
          <w:tcPr>
            <w:tcW w:w="1841" w:type="pct"/>
            <w:shd w:val="clear" w:color="auto" w:fill="1F4E79"/>
          </w:tcPr>
          <w:p w14:paraId="7277956A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Commentaire / lecture</w:t>
            </w:r>
          </w:p>
        </w:tc>
      </w:tr>
      <w:tr w:rsidR="00391125" w:rsidRPr="0072514B" w14:paraId="0083CF0C" w14:textId="77777777" w:rsidTr="001D5546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0E543A1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24</w:t>
            </w:r>
          </w:p>
        </w:tc>
        <w:tc>
          <w:tcPr>
            <w:tcW w:w="1114" w:type="pct"/>
          </w:tcPr>
          <w:p w14:paraId="50464379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Adhérents inscrits en doublon par code</w:t>
            </w:r>
          </w:p>
        </w:tc>
        <w:tc>
          <w:tcPr>
            <w:tcW w:w="1841" w:type="pct"/>
          </w:tcPr>
          <w:p w14:paraId="32976A1A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Vérifier l’unicité du code adhérent.</w:t>
            </w:r>
          </w:p>
        </w:tc>
        <w:tc>
          <w:tcPr>
            <w:tcW w:w="1841" w:type="pct"/>
          </w:tcPr>
          <w:p w14:paraId="75CE258F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Les doublons peuvent perturber le KYC, les comptes et les reportings clients.</w:t>
            </w:r>
          </w:p>
        </w:tc>
      </w:tr>
      <w:tr w:rsidR="00391125" w:rsidRPr="0072514B" w14:paraId="5D07487F" w14:textId="77777777" w:rsidTr="001D5546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5BAAA8A5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25</w:t>
            </w:r>
          </w:p>
        </w:tc>
        <w:tc>
          <w:tcPr>
            <w:tcW w:w="1114" w:type="pct"/>
          </w:tcPr>
          <w:p w14:paraId="3D149F01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Adhérents sans informations essentielles</w:t>
            </w:r>
          </w:p>
        </w:tc>
        <w:tc>
          <w:tcPr>
            <w:tcW w:w="1841" w:type="pct"/>
          </w:tcPr>
          <w:p w14:paraId="5B24BF3B" w14:textId="77777777" w:rsidR="00391125" w:rsidRPr="0072514B" w:rsidRDefault="00335FD0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Repérer</w:t>
            </w:r>
            <w:r w:rsidR="00B25A6C" w:rsidRPr="0072514B">
              <w:rPr>
                <w:rFonts w:ascii="Century Gothic" w:hAnsi="Century Gothic"/>
                <w:sz w:val="16"/>
              </w:rPr>
              <w:t xml:space="preserve"> </w:t>
            </w:r>
            <w:r w:rsidR="002E7B7C" w:rsidRPr="0072514B">
              <w:rPr>
                <w:rFonts w:ascii="Century Gothic" w:hAnsi="Century Gothic"/>
                <w:sz w:val="16"/>
              </w:rPr>
              <w:t>les fiches adhérentes</w:t>
            </w:r>
            <w:r w:rsidR="00B25A6C" w:rsidRPr="0072514B">
              <w:rPr>
                <w:rFonts w:ascii="Century Gothic" w:hAnsi="Century Gothic"/>
                <w:sz w:val="16"/>
              </w:rPr>
              <w:t xml:space="preserve"> incomplètes sur les champs de base.</w:t>
            </w:r>
          </w:p>
        </w:tc>
        <w:tc>
          <w:tcPr>
            <w:tcW w:w="1841" w:type="pct"/>
          </w:tcPr>
          <w:p w14:paraId="2BC91A6B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Sert au nettoyage KYC et à l’</w:t>
            </w:r>
            <w:r w:rsidR="00335FD0" w:rsidRPr="0072514B">
              <w:rPr>
                <w:rFonts w:ascii="Century Gothic" w:hAnsi="Century Gothic"/>
                <w:sz w:val="16"/>
              </w:rPr>
              <w:t>amélioration</w:t>
            </w:r>
            <w:r w:rsidRPr="0072514B">
              <w:rPr>
                <w:rFonts w:ascii="Century Gothic" w:hAnsi="Century Gothic"/>
                <w:sz w:val="16"/>
              </w:rPr>
              <w:t xml:space="preserve"> de la qualité du </w:t>
            </w:r>
            <w:r w:rsidR="00335FD0" w:rsidRPr="0072514B">
              <w:rPr>
                <w:rFonts w:ascii="Century Gothic" w:hAnsi="Century Gothic"/>
                <w:sz w:val="16"/>
              </w:rPr>
              <w:t>référentiel</w:t>
            </w:r>
            <w:r w:rsidRPr="0072514B">
              <w:rPr>
                <w:rFonts w:ascii="Century Gothic" w:hAnsi="Century Gothic"/>
                <w:sz w:val="16"/>
              </w:rPr>
              <w:t xml:space="preserve"> client.</w:t>
            </w:r>
          </w:p>
        </w:tc>
      </w:tr>
      <w:tr w:rsidR="00391125" w:rsidRPr="0072514B" w14:paraId="6C7F4387" w14:textId="77777777" w:rsidTr="001D5546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7B7510D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26</w:t>
            </w:r>
          </w:p>
        </w:tc>
        <w:tc>
          <w:tcPr>
            <w:tcW w:w="1114" w:type="pct"/>
          </w:tcPr>
          <w:p w14:paraId="55150198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Adhérents non validés ou droit d'adhésion non paye</w:t>
            </w:r>
          </w:p>
        </w:tc>
        <w:tc>
          <w:tcPr>
            <w:tcW w:w="1841" w:type="pct"/>
          </w:tcPr>
          <w:p w14:paraId="21EB0242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Identifier les adhérents non validés ou dont le droit d'adhésion n’est pas paye.</w:t>
            </w:r>
          </w:p>
        </w:tc>
        <w:tc>
          <w:tcPr>
            <w:tcW w:w="1841" w:type="pct"/>
          </w:tcPr>
          <w:p w14:paraId="4FC24FE1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À rapprocher avec les ouvertures de comptes et l’activité transactionnelle.</w:t>
            </w:r>
          </w:p>
        </w:tc>
      </w:tr>
      <w:tr w:rsidR="00391125" w:rsidRPr="0072514B" w14:paraId="008B9056" w14:textId="77777777" w:rsidTr="001D5546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694E753F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27</w:t>
            </w:r>
          </w:p>
        </w:tc>
        <w:tc>
          <w:tcPr>
            <w:tcW w:w="1114" w:type="pct"/>
          </w:tcPr>
          <w:p w14:paraId="01F4DE9D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Adhérents inscrits après leur dernière modification</w:t>
            </w:r>
          </w:p>
        </w:tc>
        <w:tc>
          <w:tcPr>
            <w:tcW w:w="1841" w:type="pct"/>
          </w:tcPr>
          <w:p w14:paraId="2A0CCFA7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Détecter une incohérence chronologique dans </w:t>
            </w:r>
            <w:r w:rsidR="002E7B7C" w:rsidRPr="0072514B">
              <w:rPr>
                <w:rFonts w:ascii="Century Gothic" w:hAnsi="Century Gothic"/>
                <w:sz w:val="16"/>
              </w:rPr>
              <w:t>les dates adhérentes</w:t>
            </w:r>
            <w:r w:rsidRPr="0072514B">
              <w:rPr>
                <w:rFonts w:ascii="Century Gothic" w:hAnsi="Century Gothic"/>
                <w:sz w:val="16"/>
              </w:rPr>
              <w:t>.</w:t>
            </w:r>
          </w:p>
        </w:tc>
        <w:tc>
          <w:tcPr>
            <w:tcW w:w="1841" w:type="pct"/>
          </w:tcPr>
          <w:p w14:paraId="4887105D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Peut indiquer une reprise de données ou une date de modification incorrecte.</w:t>
            </w:r>
          </w:p>
        </w:tc>
      </w:tr>
      <w:tr w:rsidR="00391125" w:rsidRPr="0072514B" w14:paraId="74F5D377" w14:textId="77777777" w:rsidTr="001D5546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052CF0D6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28</w:t>
            </w:r>
          </w:p>
        </w:tc>
        <w:tc>
          <w:tcPr>
            <w:tcW w:w="1114" w:type="pct"/>
          </w:tcPr>
          <w:p w14:paraId="2820010F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Adhérents sans compte adhérent ou avec compte adhérent introuvable</w:t>
            </w:r>
          </w:p>
        </w:tc>
        <w:tc>
          <w:tcPr>
            <w:tcW w:w="1841" w:type="pct"/>
          </w:tcPr>
          <w:p w14:paraId="6ED56E14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Vérifier le rattachement de l’adhérent a son compte adhérent.</w:t>
            </w:r>
          </w:p>
        </w:tc>
        <w:tc>
          <w:tcPr>
            <w:tcW w:w="1841" w:type="pct"/>
          </w:tcPr>
          <w:p w14:paraId="0CECD6B7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Les cas retournes peuvent bloquer l’analyse par client et le suivi KYC.</w:t>
            </w:r>
          </w:p>
        </w:tc>
      </w:tr>
    </w:tbl>
    <w:p w14:paraId="15BE63C9" w14:textId="77777777" w:rsidR="00391125" w:rsidRPr="0072514B" w:rsidRDefault="00391125">
      <w:pPr>
        <w:rPr>
          <w:rFonts w:ascii="Century Gothic" w:hAnsi="Century Gothic"/>
        </w:rPr>
      </w:pPr>
    </w:p>
    <w:p w14:paraId="4406CAB2" w14:textId="77777777" w:rsidR="00C51D8C" w:rsidRPr="0072514B" w:rsidRDefault="00C51D8C">
      <w:pPr>
        <w:rPr>
          <w:rFonts w:ascii="Century Gothic" w:hAnsi="Century Gothic"/>
        </w:rPr>
      </w:pPr>
    </w:p>
    <w:p w14:paraId="539ADCBD" w14:textId="77777777" w:rsidR="00391125" w:rsidRPr="0072514B" w:rsidRDefault="00B25A6C" w:rsidP="00564615">
      <w:pPr>
        <w:pStyle w:val="Titre2"/>
        <w:numPr>
          <w:ilvl w:val="0"/>
          <w:numId w:val="10"/>
        </w:numPr>
        <w:ind w:left="426"/>
        <w:rPr>
          <w:rFonts w:ascii="Century Gothic" w:hAnsi="Century Gothic"/>
        </w:rPr>
      </w:pPr>
      <w:r w:rsidRPr="0072514B">
        <w:rPr>
          <w:rFonts w:ascii="Century Gothic" w:hAnsi="Century Gothic"/>
          <w:color w:val="2F5496"/>
        </w:rPr>
        <w:lastRenderedPageBreak/>
        <w:t xml:space="preserve">Reporting mensuel, HDPM et mobile </w:t>
      </w:r>
      <w:r w:rsidR="00932F46" w:rsidRPr="0072514B">
        <w:rPr>
          <w:rFonts w:ascii="Century Gothic" w:hAnsi="Century Gothic"/>
          <w:color w:val="2F5496"/>
        </w:rPr>
        <w:t>Banking</w:t>
      </w: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538"/>
        <w:gridCol w:w="2920"/>
        <w:gridCol w:w="4826"/>
        <w:gridCol w:w="4824"/>
      </w:tblGrid>
      <w:tr w:rsidR="00391125" w:rsidRPr="0072514B" w14:paraId="687AE81E" w14:textId="77777777" w:rsidTr="001B3FB9">
        <w:trPr>
          <w:tblHeader/>
          <w:jc w:val="center"/>
        </w:trPr>
        <w:tc>
          <w:tcPr>
            <w:tcW w:w="205" w:type="pct"/>
            <w:shd w:val="clear" w:color="auto" w:fill="1F4E79"/>
          </w:tcPr>
          <w:p w14:paraId="771322D6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N°</w:t>
            </w:r>
          </w:p>
        </w:tc>
        <w:tc>
          <w:tcPr>
            <w:tcW w:w="1114" w:type="pct"/>
            <w:shd w:val="clear" w:color="auto" w:fill="1F4E79"/>
          </w:tcPr>
          <w:p w14:paraId="342C6653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Indicateur</w:t>
            </w:r>
          </w:p>
        </w:tc>
        <w:tc>
          <w:tcPr>
            <w:tcW w:w="1841" w:type="pct"/>
            <w:shd w:val="clear" w:color="auto" w:fill="1F4E79"/>
          </w:tcPr>
          <w:p w14:paraId="265E5E4A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Objectif</w:t>
            </w:r>
          </w:p>
        </w:tc>
        <w:tc>
          <w:tcPr>
            <w:tcW w:w="1841" w:type="pct"/>
            <w:shd w:val="clear" w:color="auto" w:fill="1F4E79"/>
          </w:tcPr>
          <w:p w14:paraId="0D53F216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Commentaire / lecture</w:t>
            </w:r>
          </w:p>
        </w:tc>
      </w:tr>
      <w:tr w:rsidR="00391125" w:rsidRPr="0072514B" w14:paraId="6AF984C8" w14:textId="77777777" w:rsidTr="001B3FB9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4E27B498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29</w:t>
            </w:r>
          </w:p>
        </w:tc>
        <w:tc>
          <w:tcPr>
            <w:tcW w:w="1114" w:type="pct"/>
          </w:tcPr>
          <w:p w14:paraId="6448020F" w14:textId="77777777" w:rsidR="00391125" w:rsidRPr="0072514B" w:rsidRDefault="001B3FB9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Synthèse</w:t>
            </w:r>
            <w:r w:rsidR="00B25A6C" w:rsidRPr="0072514B">
              <w:rPr>
                <w:rFonts w:ascii="Century Gothic" w:hAnsi="Century Gothic"/>
                <w:sz w:val="16"/>
              </w:rPr>
              <w:t xml:space="preserve"> mensuelle des montants HDPM par point de service, devise et sens</w:t>
            </w:r>
          </w:p>
        </w:tc>
        <w:tc>
          <w:tcPr>
            <w:tcW w:w="1841" w:type="pct"/>
          </w:tcPr>
          <w:p w14:paraId="3983E74B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Produire une vision agrégée des mouvements comptables par agence, devise et sens.</w:t>
            </w:r>
          </w:p>
        </w:tc>
        <w:tc>
          <w:tcPr>
            <w:tcW w:w="1841" w:type="pct"/>
          </w:tcPr>
          <w:p w14:paraId="144D0D07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Utile pour tableaux de bord mensuels et comparaison entre agences.</w:t>
            </w:r>
          </w:p>
        </w:tc>
      </w:tr>
      <w:tr w:rsidR="00391125" w:rsidRPr="0072514B" w14:paraId="0D533F56" w14:textId="77777777" w:rsidTr="001B3FB9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0167D230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30</w:t>
            </w:r>
          </w:p>
        </w:tc>
        <w:tc>
          <w:tcPr>
            <w:tcW w:w="1114" w:type="pct"/>
          </w:tcPr>
          <w:p w14:paraId="06F733B6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Top opérations par montant cumulé HDPM</w:t>
            </w:r>
          </w:p>
        </w:tc>
        <w:tc>
          <w:tcPr>
            <w:tcW w:w="1841" w:type="pct"/>
          </w:tcPr>
          <w:p w14:paraId="54879067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Lister les opérations les plus importantes en montant comptable cumulé.</w:t>
            </w:r>
          </w:p>
        </w:tc>
        <w:tc>
          <w:tcPr>
            <w:tcW w:w="1841" w:type="pct"/>
          </w:tcPr>
          <w:p w14:paraId="6FBBA91A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Priorise les contrôles sur les opérations a impact financier élevé.</w:t>
            </w:r>
          </w:p>
        </w:tc>
      </w:tr>
      <w:tr w:rsidR="00391125" w:rsidRPr="0072514B" w14:paraId="0CCC81D1" w14:textId="77777777" w:rsidTr="001B3FB9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4DB18781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31</w:t>
            </w:r>
          </w:p>
        </w:tc>
        <w:tc>
          <w:tcPr>
            <w:tcW w:w="1114" w:type="pct"/>
          </w:tcPr>
          <w:p w14:paraId="2EA841B9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Opérations API sans écritures HDPM_API rattachées</w:t>
            </w:r>
          </w:p>
        </w:tc>
        <w:tc>
          <w:tcPr>
            <w:tcW w:w="1841" w:type="pct"/>
          </w:tcPr>
          <w:p w14:paraId="07EE123A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Vérifier que chaque opération API active à des écritures comptables API.</w:t>
            </w:r>
          </w:p>
        </w:tc>
        <w:tc>
          <w:tcPr>
            <w:tcW w:w="1841" w:type="pct"/>
          </w:tcPr>
          <w:p w14:paraId="533E0181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Absence d'écriture = anomalie d'</w:t>
            </w:r>
            <w:r w:rsidR="00F86052" w:rsidRPr="0072514B">
              <w:rPr>
                <w:rFonts w:ascii="Century Gothic" w:hAnsi="Century Gothic"/>
                <w:sz w:val="16"/>
              </w:rPr>
              <w:t>intégration</w:t>
            </w:r>
            <w:r w:rsidRPr="0072514B">
              <w:rPr>
                <w:rFonts w:ascii="Century Gothic" w:hAnsi="Century Gothic"/>
                <w:sz w:val="16"/>
              </w:rPr>
              <w:t xml:space="preserve"> ou de comptabilisation potentielle.</w:t>
            </w:r>
          </w:p>
        </w:tc>
      </w:tr>
      <w:tr w:rsidR="00391125" w:rsidRPr="0072514B" w14:paraId="40EEFAFF" w14:textId="77777777" w:rsidTr="001B3FB9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1C9CDB23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32</w:t>
            </w:r>
          </w:p>
        </w:tc>
        <w:tc>
          <w:tcPr>
            <w:tcW w:w="1114" w:type="pct"/>
          </w:tcPr>
          <w:p w14:paraId="488F87A2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Opérations API mobiles sans paire débit/crédit équilibrée dans HDPM_API</w:t>
            </w:r>
          </w:p>
        </w:tc>
        <w:tc>
          <w:tcPr>
            <w:tcW w:w="1841" w:type="pct"/>
          </w:tcPr>
          <w:p w14:paraId="45533B5A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Contrôler que les opérations mobiles ont une paire débit/crédit </w:t>
            </w:r>
            <w:r w:rsidR="006A4EEA" w:rsidRPr="0072514B">
              <w:rPr>
                <w:rFonts w:ascii="Century Gothic" w:hAnsi="Century Gothic"/>
                <w:sz w:val="16"/>
              </w:rPr>
              <w:t>cohérente</w:t>
            </w:r>
            <w:r w:rsidRPr="0072514B">
              <w:rPr>
                <w:rFonts w:ascii="Century Gothic" w:hAnsi="Century Gothic"/>
                <w:sz w:val="16"/>
              </w:rPr>
              <w:t>.</w:t>
            </w:r>
          </w:p>
        </w:tc>
        <w:tc>
          <w:tcPr>
            <w:tcW w:w="1841" w:type="pct"/>
          </w:tcPr>
          <w:p w14:paraId="2518BBF2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Signale les mobiles incomplets, </w:t>
            </w:r>
            <w:r w:rsidR="006A4EEA" w:rsidRPr="0072514B">
              <w:rPr>
                <w:rFonts w:ascii="Century Gothic" w:hAnsi="Century Gothic"/>
                <w:sz w:val="16"/>
              </w:rPr>
              <w:t>déséquilibres</w:t>
            </w:r>
            <w:r w:rsidRPr="0072514B">
              <w:rPr>
                <w:rFonts w:ascii="Century Gothic" w:hAnsi="Century Gothic"/>
                <w:sz w:val="16"/>
              </w:rPr>
              <w:t xml:space="preserve"> ou mal rattachés.</w:t>
            </w:r>
          </w:p>
        </w:tc>
      </w:tr>
      <w:tr w:rsidR="00391125" w:rsidRPr="0072514B" w14:paraId="2D8D6EBA" w14:textId="77777777" w:rsidTr="001B3FB9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2B1FD870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33</w:t>
            </w:r>
          </w:p>
        </w:tc>
        <w:tc>
          <w:tcPr>
            <w:tcW w:w="1114" w:type="pct"/>
          </w:tcPr>
          <w:p w14:paraId="7FBF0551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Opérations API annulées et leurs écritures HDPM_API</w:t>
            </w:r>
          </w:p>
        </w:tc>
        <w:tc>
          <w:tcPr>
            <w:tcW w:w="1841" w:type="pct"/>
          </w:tcPr>
          <w:p w14:paraId="5E3C0350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Documenter les opérations API annulées avec leur impact comptable.</w:t>
            </w:r>
          </w:p>
        </w:tc>
        <w:tc>
          <w:tcPr>
            <w:tcW w:w="1841" w:type="pct"/>
          </w:tcPr>
          <w:p w14:paraId="3F57FCE3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Facilite la revue des annulations mobile </w:t>
            </w:r>
            <w:r w:rsidR="0013730A" w:rsidRPr="0072514B">
              <w:rPr>
                <w:rFonts w:ascii="Century Gothic" w:hAnsi="Century Gothic"/>
                <w:sz w:val="16"/>
              </w:rPr>
              <w:t>Banking</w:t>
            </w:r>
            <w:r w:rsidRPr="0072514B">
              <w:rPr>
                <w:rFonts w:ascii="Century Gothic" w:hAnsi="Century Gothic"/>
                <w:sz w:val="16"/>
              </w:rPr>
              <w:t>.</w:t>
            </w:r>
          </w:p>
        </w:tc>
      </w:tr>
      <w:tr w:rsidR="00391125" w:rsidRPr="0072514B" w14:paraId="21EE12B3" w14:textId="77777777" w:rsidTr="001B3FB9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25DD9C61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34</w:t>
            </w:r>
          </w:p>
        </w:tc>
        <w:tc>
          <w:tcPr>
            <w:tcW w:w="1114" w:type="pct"/>
          </w:tcPr>
          <w:p w14:paraId="41C501AA" w14:textId="77777777" w:rsidR="00391125" w:rsidRPr="0072514B" w:rsidRDefault="0013730A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Synthèse</w:t>
            </w:r>
            <w:r w:rsidR="00B25A6C" w:rsidRPr="0072514B">
              <w:rPr>
                <w:rFonts w:ascii="Century Gothic" w:hAnsi="Century Gothic"/>
                <w:sz w:val="16"/>
              </w:rPr>
              <w:t xml:space="preserve"> des opérations API par statut annulation et type</w:t>
            </w:r>
          </w:p>
        </w:tc>
        <w:tc>
          <w:tcPr>
            <w:tcW w:w="1841" w:type="pct"/>
          </w:tcPr>
          <w:p w14:paraId="3DDDBB16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Suivre l’activité API par mois, type opération et statut d’annulation.</w:t>
            </w:r>
          </w:p>
        </w:tc>
        <w:tc>
          <w:tcPr>
            <w:tcW w:w="1841" w:type="pct"/>
          </w:tcPr>
          <w:p w14:paraId="7E5F1D25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Utile pour surveiller </w:t>
            </w:r>
            <w:r w:rsidR="00815BAF" w:rsidRPr="0072514B">
              <w:rPr>
                <w:rFonts w:ascii="Century Gothic" w:hAnsi="Century Gothic"/>
                <w:sz w:val="16"/>
              </w:rPr>
              <w:t>les tendances mobiles</w:t>
            </w:r>
            <w:r w:rsidRPr="0072514B">
              <w:rPr>
                <w:rFonts w:ascii="Century Gothic" w:hAnsi="Century Gothic"/>
                <w:sz w:val="16"/>
              </w:rPr>
              <w:t xml:space="preserve"> </w:t>
            </w:r>
            <w:r w:rsidR="0013730A" w:rsidRPr="0072514B">
              <w:rPr>
                <w:rFonts w:ascii="Century Gothic" w:hAnsi="Century Gothic"/>
                <w:sz w:val="16"/>
              </w:rPr>
              <w:t>Banking</w:t>
            </w:r>
            <w:r w:rsidRPr="0072514B">
              <w:rPr>
                <w:rFonts w:ascii="Century Gothic" w:hAnsi="Century Gothic"/>
                <w:sz w:val="16"/>
              </w:rPr>
              <w:t>.</w:t>
            </w:r>
          </w:p>
        </w:tc>
      </w:tr>
      <w:tr w:rsidR="00391125" w:rsidRPr="0072514B" w14:paraId="37524990" w14:textId="77777777" w:rsidTr="001B3FB9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4550130D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35</w:t>
            </w:r>
          </w:p>
        </w:tc>
        <w:tc>
          <w:tcPr>
            <w:tcW w:w="1114" w:type="pct"/>
          </w:tcPr>
          <w:p w14:paraId="2BF7B224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Pics de fin de mois dans OPERATIONS par type opération</w:t>
            </w:r>
          </w:p>
        </w:tc>
        <w:tc>
          <w:tcPr>
            <w:tcW w:w="1841" w:type="pct"/>
          </w:tcPr>
          <w:p w14:paraId="5879CF71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Identifier les volumes importants passes en fin de mois.</w:t>
            </w:r>
          </w:p>
        </w:tc>
        <w:tc>
          <w:tcPr>
            <w:tcW w:w="1841" w:type="pct"/>
          </w:tcPr>
          <w:p w14:paraId="5417FD03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Permet de distinguer traitements batch, </w:t>
            </w:r>
            <w:r w:rsidR="00815BAF" w:rsidRPr="0072514B">
              <w:rPr>
                <w:rFonts w:ascii="Century Gothic" w:hAnsi="Century Gothic"/>
                <w:sz w:val="16"/>
              </w:rPr>
              <w:t>régularisations</w:t>
            </w:r>
            <w:r w:rsidRPr="0072514B">
              <w:rPr>
                <w:rFonts w:ascii="Century Gothic" w:hAnsi="Century Gothic"/>
                <w:sz w:val="16"/>
              </w:rPr>
              <w:t xml:space="preserve"> et anomalies de concentration.</w:t>
            </w:r>
          </w:p>
        </w:tc>
      </w:tr>
      <w:tr w:rsidR="00391125" w:rsidRPr="0072514B" w14:paraId="10C58DB9" w14:textId="77777777" w:rsidTr="001B3FB9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6ADCDB3F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36</w:t>
            </w:r>
          </w:p>
        </w:tc>
        <w:tc>
          <w:tcPr>
            <w:tcW w:w="1114" w:type="pct"/>
          </w:tcPr>
          <w:p w14:paraId="35D3FA19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Liste de tous les dépôts et retraits, back-office et API mobile</w:t>
            </w:r>
          </w:p>
        </w:tc>
        <w:tc>
          <w:tcPr>
            <w:tcW w:w="1841" w:type="pct"/>
          </w:tcPr>
          <w:p w14:paraId="202E4E73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Obtenir le </w:t>
            </w:r>
            <w:r w:rsidR="000C0B7F" w:rsidRPr="0072514B">
              <w:rPr>
                <w:rFonts w:ascii="Century Gothic" w:hAnsi="Century Gothic"/>
                <w:sz w:val="16"/>
              </w:rPr>
              <w:t>détail</w:t>
            </w:r>
            <w:r w:rsidRPr="0072514B">
              <w:rPr>
                <w:rFonts w:ascii="Century Gothic" w:hAnsi="Century Gothic"/>
                <w:sz w:val="16"/>
              </w:rPr>
              <w:t xml:space="preserve"> unifie des dépôts/retraits toutes sources.</w:t>
            </w:r>
          </w:p>
        </w:tc>
        <w:tc>
          <w:tcPr>
            <w:tcW w:w="1841" w:type="pct"/>
          </w:tcPr>
          <w:p w14:paraId="2B84628D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Base de travail pour extraction Excel, contrôle LBC-FT et investigations transactionnelles.</w:t>
            </w:r>
          </w:p>
        </w:tc>
      </w:tr>
      <w:tr w:rsidR="00391125" w:rsidRPr="0072514B" w14:paraId="277917FD" w14:textId="77777777" w:rsidTr="001B3FB9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05DAA52A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37</w:t>
            </w:r>
          </w:p>
        </w:tc>
        <w:tc>
          <w:tcPr>
            <w:tcW w:w="1114" w:type="pct"/>
          </w:tcPr>
          <w:p w14:paraId="2FFEDD27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Liste de tous les mouvements comptables, tous types confondus</w:t>
            </w:r>
          </w:p>
        </w:tc>
        <w:tc>
          <w:tcPr>
            <w:tcW w:w="1841" w:type="pct"/>
          </w:tcPr>
          <w:p w14:paraId="5F76F10A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Produire un listing complet HDPM + HDPM_API sans filtrer les types opération.</w:t>
            </w:r>
          </w:p>
        </w:tc>
        <w:tc>
          <w:tcPr>
            <w:tcW w:w="1841" w:type="pct"/>
          </w:tcPr>
          <w:p w14:paraId="7109FE99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Sert d'export exhaustif des mouvements comptables sur la période.</w:t>
            </w:r>
          </w:p>
        </w:tc>
      </w:tr>
    </w:tbl>
    <w:p w14:paraId="6B9A07AB" w14:textId="77777777" w:rsidR="00391125" w:rsidRPr="0072514B" w:rsidRDefault="00391125">
      <w:pPr>
        <w:rPr>
          <w:rFonts w:ascii="Century Gothic" w:hAnsi="Century Gothic"/>
        </w:rPr>
      </w:pPr>
    </w:p>
    <w:p w14:paraId="0F252542" w14:textId="77777777" w:rsidR="00391125" w:rsidRPr="0072514B" w:rsidRDefault="00B25A6C" w:rsidP="00184C87">
      <w:pPr>
        <w:pStyle w:val="Titre2"/>
        <w:numPr>
          <w:ilvl w:val="0"/>
          <w:numId w:val="10"/>
        </w:numPr>
        <w:ind w:left="426"/>
        <w:rPr>
          <w:rFonts w:ascii="Century Gothic" w:hAnsi="Century Gothic"/>
        </w:rPr>
      </w:pPr>
      <w:r w:rsidRPr="0072514B">
        <w:rPr>
          <w:rFonts w:ascii="Century Gothic" w:hAnsi="Century Gothic"/>
          <w:color w:val="2F5496"/>
        </w:rPr>
        <w:t>LBC-FT, opérations sensibles et supervision</w:t>
      </w: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538"/>
        <w:gridCol w:w="2920"/>
        <w:gridCol w:w="4826"/>
        <w:gridCol w:w="4824"/>
      </w:tblGrid>
      <w:tr w:rsidR="00391125" w:rsidRPr="0072514B" w14:paraId="58E68829" w14:textId="77777777" w:rsidTr="00962CD7">
        <w:trPr>
          <w:tblHeader/>
          <w:jc w:val="center"/>
        </w:trPr>
        <w:tc>
          <w:tcPr>
            <w:tcW w:w="205" w:type="pct"/>
            <w:shd w:val="clear" w:color="auto" w:fill="1F4E79"/>
          </w:tcPr>
          <w:p w14:paraId="1F130B74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N°</w:t>
            </w:r>
          </w:p>
        </w:tc>
        <w:tc>
          <w:tcPr>
            <w:tcW w:w="1114" w:type="pct"/>
            <w:shd w:val="clear" w:color="auto" w:fill="1F4E79"/>
          </w:tcPr>
          <w:p w14:paraId="38AB16A4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Indicateur</w:t>
            </w:r>
          </w:p>
        </w:tc>
        <w:tc>
          <w:tcPr>
            <w:tcW w:w="1841" w:type="pct"/>
            <w:shd w:val="clear" w:color="auto" w:fill="1F4E79"/>
          </w:tcPr>
          <w:p w14:paraId="16905F95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Objectif</w:t>
            </w:r>
          </w:p>
        </w:tc>
        <w:tc>
          <w:tcPr>
            <w:tcW w:w="1841" w:type="pct"/>
            <w:shd w:val="clear" w:color="auto" w:fill="1F4E79"/>
          </w:tcPr>
          <w:p w14:paraId="3BAF8DFA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Commentaire / lecture</w:t>
            </w:r>
          </w:p>
        </w:tc>
      </w:tr>
      <w:tr w:rsidR="00391125" w:rsidRPr="0072514B" w14:paraId="49C24855" w14:textId="77777777" w:rsidTr="00962CD7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1F026CA8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38</w:t>
            </w:r>
          </w:p>
        </w:tc>
        <w:tc>
          <w:tcPr>
            <w:tcW w:w="1114" w:type="pct"/>
          </w:tcPr>
          <w:p w14:paraId="3B0F21C1" w14:textId="77777777" w:rsidR="00391125" w:rsidRPr="0072514B" w:rsidRDefault="00C3051B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Synthèse</w:t>
            </w:r>
            <w:r w:rsidR="00B25A6C" w:rsidRPr="0072514B">
              <w:rPr>
                <w:rFonts w:ascii="Century Gothic" w:hAnsi="Century Gothic"/>
                <w:sz w:val="16"/>
              </w:rPr>
              <w:t xml:space="preserve"> Excel LBC-FT : dépôts, retraits et mobile </w:t>
            </w:r>
            <w:r w:rsidR="000567AF" w:rsidRPr="0072514B">
              <w:rPr>
                <w:rFonts w:ascii="Century Gothic" w:hAnsi="Century Gothic"/>
                <w:sz w:val="16"/>
              </w:rPr>
              <w:t>Banking</w:t>
            </w:r>
          </w:p>
        </w:tc>
        <w:tc>
          <w:tcPr>
            <w:tcW w:w="1841" w:type="pct"/>
          </w:tcPr>
          <w:p w14:paraId="4E8EAFD8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Produire une table directement exploitable pour certaines lignes du reporting BCC/LBC-FT.</w:t>
            </w:r>
          </w:p>
        </w:tc>
        <w:tc>
          <w:tcPr>
            <w:tcW w:w="1841" w:type="pct"/>
          </w:tcPr>
          <w:p w14:paraId="52FCDD4A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Renseigne section, ligne Excel, rubrique, nombre, volume et commentaire.</w:t>
            </w:r>
          </w:p>
        </w:tc>
      </w:tr>
      <w:tr w:rsidR="00391125" w:rsidRPr="0072514B" w14:paraId="23323808" w14:textId="77777777" w:rsidTr="00962CD7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3D5DC6A9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39</w:t>
            </w:r>
          </w:p>
        </w:tc>
        <w:tc>
          <w:tcPr>
            <w:tcW w:w="1114" w:type="pct"/>
          </w:tcPr>
          <w:p w14:paraId="519B1CC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Fractionnement potentiel : plusieurs mouvements sous seuil mais cumul au-dessus du seuil</w:t>
            </w:r>
          </w:p>
        </w:tc>
        <w:tc>
          <w:tcPr>
            <w:tcW w:w="1841" w:type="pct"/>
          </w:tcPr>
          <w:p w14:paraId="46ACFBC1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Détecter les clients avec plusieurs opérations sous seuil dont le cumul </w:t>
            </w:r>
            <w:r w:rsidR="000567AF" w:rsidRPr="0072514B">
              <w:rPr>
                <w:rFonts w:ascii="Century Gothic" w:hAnsi="Century Gothic"/>
                <w:sz w:val="16"/>
              </w:rPr>
              <w:t>dépasse</w:t>
            </w:r>
            <w:r w:rsidRPr="0072514B">
              <w:rPr>
                <w:rFonts w:ascii="Century Gothic" w:hAnsi="Century Gothic"/>
                <w:sz w:val="16"/>
              </w:rPr>
              <w:t xml:space="preserve"> le seuil journalier.</w:t>
            </w:r>
          </w:p>
        </w:tc>
        <w:tc>
          <w:tcPr>
            <w:tcW w:w="1841" w:type="pct"/>
          </w:tcPr>
          <w:p w14:paraId="7542EAAF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Cas typique de surveillance LBC-FT sur contournement possible des seuils.</w:t>
            </w:r>
          </w:p>
        </w:tc>
      </w:tr>
      <w:tr w:rsidR="00391125" w:rsidRPr="0072514B" w14:paraId="61AD41C8" w14:textId="77777777" w:rsidTr="00962CD7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589C5981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40</w:t>
            </w:r>
          </w:p>
        </w:tc>
        <w:tc>
          <w:tcPr>
            <w:tcW w:w="1114" w:type="pct"/>
          </w:tcPr>
          <w:p w14:paraId="01229876" w14:textId="32E74332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Opérations inhabituelles par client : volume période vs moyenne des 3 mois </w:t>
            </w:r>
            <w:r w:rsidR="0072514B" w:rsidRPr="0072514B">
              <w:rPr>
                <w:rFonts w:ascii="Century Gothic" w:hAnsi="Century Gothic"/>
                <w:sz w:val="16"/>
              </w:rPr>
              <w:t>précédents</w:t>
            </w:r>
          </w:p>
        </w:tc>
        <w:tc>
          <w:tcPr>
            <w:tcW w:w="1841" w:type="pct"/>
          </w:tcPr>
          <w:p w14:paraId="273F9E3E" w14:textId="170A8303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Comparer le volume de la période avec l’historique </w:t>
            </w:r>
            <w:r w:rsidR="00A01406" w:rsidRPr="0072514B">
              <w:rPr>
                <w:rFonts w:ascii="Century Gothic" w:hAnsi="Century Gothic"/>
                <w:sz w:val="16"/>
              </w:rPr>
              <w:t>récent</w:t>
            </w:r>
            <w:r w:rsidRPr="0072514B">
              <w:rPr>
                <w:rFonts w:ascii="Century Gothic" w:hAnsi="Century Gothic"/>
                <w:sz w:val="16"/>
              </w:rPr>
              <w:t xml:space="preserve"> du client.</w:t>
            </w:r>
          </w:p>
        </w:tc>
        <w:tc>
          <w:tcPr>
            <w:tcW w:w="1841" w:type="pct"/>
          </w:tcPr>
          <w:p w14:paraId="4EA66CEB" w14:textId="73FAB54F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Les multiples élevés ou l’absence d'historique doivent </w:t>
            </w:r>
            <w:r w:rsidR="004979E8" w:rsidRPr="0072514B">
              <w:rPr>
                <w:rFonts w:ascii="Century Gothic" w:hAnsi="Century Gothic"/>
                <w:sz w:val="16"/>
              </w:rPr>
              <w:t>être</w:t>
            </w:r>
            <w:r w:rsidRPr="0072514B">
              <w:rPr>
                <w:rFonts w:ascii="Century Gothic" w:hAnsi="Century Gothic"/>
                <w:sz w:val="16"/>
              </w:rPr>
              <w:t xml:space="preserve"> investigues.</w:t>
            </w:r>
          </w:p>
        </w:tc>
      </w:tr>
      <w:tr w:rsidR="00391125" w:rsidRPr="0072514B" w14:paraId="229F6831" w14:textId="77777777" w:rsidTr="00962CD7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4EC1860C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41</w:t>
            </w:r>
          </w:p>
        </w:tc>
        <w:tc>
          <w:tcPr>
            <w:tcW w:w="1114" w:type="pct"/>
          </w:tcPr>
          <w:p w14:paraId="714065E1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Clients avec forte activité mais données KYC incomplètes ou atypiques</w:t>
            </w:r>
          </w:p>
        </w:tc>
        <w:tc>
          <w:tcPr>
            <w:tcW w:w="1841" w:type="pct"/>
          </w:tcPr>
          <w:p w14:paraId="4E915BAD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Croiser volume transactionnel et qualité des données adhérent.</w:t>
            </w:r>
          </w:p>
        </w:tc>
        <w:tc>
          <w:tcPr>
            <w:tcW w:w="1841" w:type="pct"/>
          </w:tcPr>
          <w:p w14:paraId="3976EE44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Priorise les dossiers KYC incomplets ayant une activité significative.</w:t>
            </w:r>
          </w:p>
        </w:tc>
      </w:tr>
      <w:tr w:rsidR="00391125" w:rsidRPr="0072514B" w14:paraId="4D131918" w14:textId="77777777" w:rsidTr="00962CD7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586CF033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42</w:t>
            </w:r>
          </w:p>
        </w:tc>
        <w:tc>
          <w:tcPr>
            <w:tcW w:w="1114" w:type="pct"/>
          </w:tcPr>
          <w:p w14:paraId="6647AA8B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Dépôts et retraits agrégés par client</w:t>
            </w:r>
          </w:p>
        </w:tc>
        <w:tc>
          <w:tcPr>
            <w:tcW w:w="1841" w:type="pct"/>
          </w:tcPr>
          <w:p w14:paraId="6666846A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Calculer nombres et volumes de dépôts/retraits par adhérent.</w:t>
            </w:r>
          </w:p>
        </w:tc>
        <w:tc>
          <w:tcPr>
            <w:tcW w:w="1841" w:type="pct"/>
          </w:tcPr>
          <w:p w14:paraId="05F2C242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Base pour profilage client et suivi commercial/risque.</w:t>
            </w:r>
          </w:p>
        </w:tc>
      </w:tr>
      <w:tr w:rsidR="00391125" w:rsidRPr="0072514B" w14:paraId="50B15FBE" w14:textId="77777777" w:rsidTr="00962CD7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70B6939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43</w:t>
            </w:r>
          </w:p>
        </w:tc>
        <w:tc>
          <w:tcPr>
            <w:tcW w:w="1114" w:type="pct"/>
          </w:tcPr>
          <w:p w14:paraId="274A15CD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Top clients par volume de mouvements</w:t>
            </w:r>
          </w:p>
        </w:tc>
        <w:tc>
          <w:tcPr>
            <w:tcW w:w="1841" w:type="pct"/>
          </w:tcPr>
          <w:p w14:paraId="6033279F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Afficher les 50 clients les plus actifs en montant sur la période.</w:t>
            </w:r>
          </w:p>
        </w:tc>
        <w:tc>
          <w:tcPr>
            <w:tcW w:w="1841" w:type="pct"/>
          </w:tcPr>
          <w:p w14:paraId="2583E9E9" w14:textId="487AE7A1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Utile pour </w:t>
            </w:r>
            <w:r w:rsidR="004979E8" w:rsidRPr="0072514B">
              <w:rPr>
                <w:rFonts w:ascii="Century Gothic" w:hAnsi="Century Gothic"/>
                <w:sz w:val="16"/>
              </w:rPr>
              <w:t>sélectionner</w:t>
            </w:r>
            <w:r w:rsidRPr="0072514B">
              <w:rPr>
                <w:rFonts w:ascii="Century Gothic" w:hAnsi="Century Gothic"/>
                <w:sz w:val="16"/>
              </w:rPr>
              <w:t xml:space="preserve"> les dossiers a examiner en </w:t>
            </w:r>
            <w:r w:rsidR="004979E8" w:rsidRPr="0072514B">
              <w:rPr>
                <w:rFonts w:ascii="Century Gothic" w:hAnsi="Century Gothic"/>
                <w:sz w:val="16"/>
              </w:rPr>
              <w:t>priorité</w:t>
            </w:r>
            <w:r w:rsidRPr="0072514B">
              <w:rPr>
                <w:rFonts w:ascii="Century Gothic" w:hAnsi="Century Gothic"/>
                <w:sz w:val="16"/>
              </w:rPr>
              <w:t>.</w:t>
            </w:r>
          </w:p>
        </w:tc>
      </w:tr>
      <w:tr w:rsidR="00391125" w:rsidRPr="0072514B" w14:paraId="456BB2F7" w14:textId="77777777" w:rsidTr="00962CD7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3FB2DC88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44</w:t>
            </w:r>
          </w:p>
        </w:tc>
        <w:tc>
          <w:tcPr>
            <w:tcW w:w="1114" w:type="pct"/>
          </w:tcPr>
          <w:p w14:paraId="4BC32572" w14:textId="62A30019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Analyse </w:t>
            </w:r>
            <w:r w:rsidR="0072514B" w:rsidRPr="0072514B">
              <w:rPr>
                <w:rFonts w:ascii="Century Gothic" w:hAnsi="Century Gothic"/>
                <w:sz w:val="16"/>
              </w:rPr>
              <w:t>détaillée</w:t>
            </w:r>
            <w:r w:rsidRPr="0072514B">
              <w:rPr>
                <w:rFonts w:ascii="Century Gothic" w:hAnsi="Century Gothic"/>
                <w:sz w:val="16"/>
              </w:rPr>
              <w:t xml:space="preserve"> des opérations annulées</w:t>
            </w:r>
          </w:p>
        </w:tc>
        <w:tc>
          <w:tcPr>
            <w:tcW w:w="1841" w:type="pct"/>
          </w:tcPr>
          <w:p w14:paraId="188070AA" w14:textId="270750FC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Lister les annulations avec utilisateur, validateur et références </w:t>
            </w:r>
            <w:r w:rsidR="0072514B" w:rsidRPr="0072514B">
              <w:rPr>
                <w:rFonts w:ascii="Century Gothic" w:hAnsi="Century Gothic"/>
                <w:sz w:val="16"/>
              </w:rPr>
              <w:t>opérationnelles</w:t>
            </w:r>
            <w:r w:rsidRPr="0072514B">
              <w:rPr>
                <w:rFonts w:ascii="Century Gothic" w:hAnsi="Century Gothic"/>
                <w:sz w:val="16"/>
              </w:rPr>
              <w:t>.</w:t>
            </w:r>
          </w:p>
        </w:tc>
        <w:tc>
          <w:tcPr>
            <w:tcW w:w="1841" w:type="pct"/>
          </w:tcPr>
          <w:p w14:paraId="126EF2F7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Facilite la revue des annulations et de leur justification.</w:t>
            </w:r>
          </w:p>
        </w:tc>
      </w:tr>
      <w:tr w:rsidR="00391125" w:rsidRPr="0072514B" w14:paraId="3A150FE6" w14:textId="77777777" w:rsidTr="00962CD7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4FBD8146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lastRenderedPageBreak/>
              <w:t>45</w:t>
            </w:r>
          </w:p>
        </w:tc>
        <w:tc>
          <w:tcPr>
            <w:tcW w:w="1114" w:type="pct"/>
          </w:tcPr>
          <w:p w14:paraId="34154893" w14:textId="2A7EB08A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Utilisateurs a risque : volumes, annulations, saisies tardives et </w:t>
            </w:r>
            <w:r w:rsidR="00BD7D66" w:rsidRPr="0072514B">
              <w:rPr>
                <w:rFonts w:ascii="Century Gothic" w:hAnsi="Century Gothic"/>
                <w:sz w:val="16"/>
              </w:rPr>
              <w:t>auto validation</w:t>
            </w:r>
          </w:p>
        </w:tc>
        <w:tc>
          <w:tcPr>
            <w:tcW w:w="1841" w:type="pct"/>
          </w:tcPr>
          <w:p w14:paraId="2F8E09B1" w14:textId="0F5E4A5D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Identifier les utilisateurs dont l’activité </w:t>
            </w:r>
            <w:r w:rsidR="00BD7D66" w:rsidRPr="0072514B">
              <w:rPr>
                <w:rFonts w:ascii="Century Gothic" w:hAnsi="Century Gothic"/>
                <w:sz w:val="16"/>
              </w:rPr>
              <w:t>présente</w:t>
            </w:r>
            <w:r w:rsidRPr="0072514B">
              <w:rPr>
                <w:rFonts w:ascii="Century Gothic" w:hAnsi="Century Gothic"/>
                <w:sz w:val="16"/>
              </w:rPr>
              <w:t xml:space="preserve"> des signaux de supervision.</w:t>
            </w:r>
          </w:p>
        </w:tc>
        <w:tc>
          <w:tcPr>
            <w:tcW w:w="1841" w:type="pct"/>
          </w:tcPr>
          <w:p w14:paraId="7716A06B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Combine volume, annulations, saisies tardives et séparation des tâches.</w:t>
            </w:r>
          </w:p>
        </w:tc>
      </w:tr>
      <w:tr w:rsidR="00391125" w:rsidRPr="0072514B" w14:paraId="6B6FF666" w14:textId="77777777" w:rsidTr="00962CD7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550FBB1A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46</w:t>
            </w:r>
          </w:p>
        </w:tc>
        <w:tc>
          <w:tcPr>
            <w:tcW w:w="1114" w:type="pct"/>
          </w:tcPr>
          <w:p w14:paraId="5789B866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Analyse par point de service / agence</w:t>
            </w:r>
          </w:p>
        </w:tc>
        <w:tc>
          <w:tcPr>
            <w:tcW w:w="1841" w:type="pct"/>
          </w:tcPr>
          <w:p w14:paraId="597406BB" w14:textId="095FB282" w:rsidR="00391125" w:rsidRPr="0072514B" w:rsidRDefault="00BD7D66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Agréger</w:t>
            </w:r>
            <w:r w:rsidR="00B25A6C" w:rsidRPr="0072514B">
              <w:rPr>
                <w:rFonts w:ascii="Century Gothic" w:hAnsi="Century Gothic"/>
                <w:sz w:val="16"/>
              </w:rPr>
              <w:t xml:space="preserve"> les opérations par agence, type et indicateurs d'anomalie.</w:t>
            </w:r>
          </w:p>
        </w:tc>
        <w:tc>
          <w:tcPr>
            <w:tcW w:w="1841" w:type="pct"/>
          </w:tcPr>
          <w:p w14:paraId="5333206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Compare les agences et identifie les points de service atypiques.</w:t>
            </w:r>
          </w:p>
        </w:tc>
      </w:tr>
      <w:tr w:rsidR="00391125" w:rsidRPr="0072514B" w14:paraId="74A5C772" w14:textId="77777777" w:rsidTr="00962CD7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414C8A1C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47</w:t>
            </w:r>
          </w:p>
        </w:tc>
        <w:tc>
          <w:tcPr>
            <w:tcW w:w="1114" w:type="pct"/>
          </w:tcPr>
          <w:p w14:paraId="305B331B" w14:textId="380FAEC7" w:rsidR="00391125" w:rsidRPr="0072514B" w:rsidRDefault="00BD7D66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Détail</w:t>
            </w:r>
            <w:r w:rsidR="00B25A6C" w:rsidRPr="0072514B">
              <w:rPr>
                <w:rFonts w:ascii="Century Gothic" w:hAnsi="Century Gothic"/>
                <w:sz w:val="16"/>
              </w:rPr>
              <w:t xml:space="preserve"> mobile </w:t>
            </w:r>
            <w:r w:rsidRPr="0072514B">
              <w:rPr>
                <w:rFonts w:ascii="Century Gothic" w:hAnsi="Century Gothic"/>
                <w:sz w:val="16"/>
              </w:rPr>
              <w:t>Banking</w:t>
            </w:r>
            <w:r w:rsidR="00B25A6C" w:rsidRPr="0072514B">
              <w:rPr>
                <w:rFonts w:ascii="Century Gothic" w:hAnsi="Century Gothic"/>
                <w:sz w:val="16"/>
              </w:rPr>
              <w:t xml:space="preserve"> par type opération</w:t>
            </w:r>
          </w:p>
        </w:tc>
        <w:tc>
          <w:tcPr>
            <w:tcW w:w="1841" w:type="pct"/>
          </w:tcPr>
          <w:p w14:paraId="35C471F8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Suivre les opérations API par type mobile, mois et point de service.</w:t>
            </w:r>
          </w:p>
        </w:tc>
        <w:tc>
          <w:tcPr>
            <w:tcW w:w="1841" w:type="pct"/>
          </w:tcPr>
          <w:p w14:paraId="4C5504CB" w14:textId="4899B844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Aide au reporting mobile </w:t>
            </w:r>
            <w:r w:rsidR="005A4E82" w:rsidRPr="0072514B">
              <w:rPr>
                <w:rFonts w:ascii="Century Gothic" w:hAnsi="Century Gothic"/>
                <w:sz w:val="16"/>
              </w:rPr>
              <w:t>Banking</w:t>
            </w:r>
            <w:r w:rsidRPr="0072514B">
              <w:rPr>
                <w:rFonts w:ascii="Century Gothic" w:hAnsi="Century Gothic"/>
                <w:sz w:val="16"/>
              </w:rPr>
              <w:t xml:space="preserve"> et au contrôle de l’équilibre débit/crédit.</w:t>
            </w:r>
          </w:p>
        </w:tc>
      </w:tr>
      <w:tr w:rsidR="00391125" w:rsidRPr="0072514B" w14:paraId="1E3996D8" w14:textId="77777777" w:rsidTr="00962CD7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16E1493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48</w:t>
            </w:r>
          </w:p>
        </w:tc>
        <w:tc>
          <w:tcPr>
            <w:tcW w:w="1114" w:type="pct"/>
          </w:tcPr>
          <w:p w14:paraId="5BC3877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Rubriques LBC-FT non couvertes automatiquement et pistes de mapping</w:t>
            </w:r>
          </w:p>
        </w:tc>
        <w:tc>
          <w:tcPr>
            <w:tcW w:w="1841" w:type="pct"/>
          </w:tcPr>
          <w:p w14:paraId="7731E0E9" w14:textId="135C66E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Documenter les rubriques du </w:t>
            </w:r>
            <w:r w:rsidR="00BD7D66" w:rsidRPr="0072514B">
              <w:rPr>
                <w:rFonts w:ascii="Century Gothic" w:hAnsi="Century Gothic"/>
                <w:sz w:val="16"/>
              </w:rPr>
              <w:t>reportant</w:t>
            </w:r>
            <w:r w:rsidRPr="0072514B">
              <w:rPr>
                <w:rFonts w:ascii="Century Gothic" w:hAnsi="Century Gothic"/>
                <w:sz w:val="16"/>
              </w:rPr>
              <w:t xml:space="preserve"> qui </w:t>
            </w:r>
            <w:r w:rsidR="00BD7D66" w:rsidRPr="0072514B">
              <w:rPr>
                <w:rFonts w:ascii="Century Gothic" w:hAnsi="Century Gothic"/>
                <w:sz w:val="16"/>
              </w:rPr>
              <w:t>nécessitent</w:t>
            </w:r>
            <w:r w:rsidRPr="0072514B">
              <w:rPr>
                <w:rFonts w:ascii="Century Gothic" w:hAnsi="Century Gothic"/>
                <w:sz w:val="16"/>
              </w:rPr>
              <w:t xml:space="preserve"> encore une source ou un mapping métier.</w:t>
            </w:r>
          </w:p>
        </w:tc>
        <w:tc>
          <w:tcPr>
            <w:tcW w:w="1841" w:type="pct"/>
          </w:tcPr>
          <w:p w14:paraId="4F8E3950" w14:textId="257429ED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Sert de checklist pour </w:t>
            </w:r>
            <w:r w:rsidR="005A4E82" w:rsidRPr="0072514B">
              <w:rPr>
                <w:rFonts w:ascii="Century Gothic" w:hAnsi="Century Gothic"/>
                <w:sz w:val="16"/>
              </w:rPr>
              <w:t>compléter</w:t>
            </w:r>
            <w:r w:rsidRPr="0072514B">
              <w:rPr>
                <w:rFonts w:ascii="Century Gothic" w:hAnsi="Century Gothic"/>
                <w:sz w:val="16"/>
              </w:rPr>
              <w:t xml:space="preserve"> le reporting BCC/LBC-FT au-delà des mouvements financiers.</w:t>
            </w:r>
          </w:p>
        </w:tc>
      </w:tr>
    </w:tbl>
    <w:p w14:paraId="225C9BB6" w14:textId="77777777" w:rsidR="00391125" w:rsidRPr="0072514B" w:rsidRDefault="00B25A6C" w:rsidP="00DA3CB8">
      <w:pPr>
        <w:pStyle w:val="Titre2"/>
        <w:numPr>
          <w:ilvl w:val="0"/>
          <w:numId w:val="10"/>
        </w:numPr>
        <w:ind w:left="426"/>
        <w:rPr>
          <w:rFonts w:ascii="Century Gothic" w:hAnsi="Century Gothic"/>
        </w:rPr>
      </w:pPr>
      <w:r w:rsidRPr="0072514B">
        <w:rPr>
          <w:rFonts w:ascii="Century Gothic" w:hAnsi="Century Gothic"/>
          <w:color w:val="2F5496"/>
        </w:rPr>
        <w:t>Épargne, comptes et mouvements</w:t>
      </w: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538"/>
        <w:gridCol w:w="2920"/>
        <w:gridCol w:w="4826"/>
        <w:gridCol w:w="4824"/>
      </w:tblGrid>
      <w:tr w:rsidR="00391125" w:rsidRPr="0072514B" w14:paraId="55F5F85B" w14:textId="77777777" w:rsidTr="00A85A3A">
        <w:trPr>
          <w:tblHeader/>
          <w:jc w:val="center"/>
        </w:trPr>
        <w:tc>
          <w:tcPr>
            <w:tcW w:w="205" w:type="pct"/>
            <w:shd w:val="clear" w:color="auto" w:fill="1F4E79"/>
          </w:tcPr>
          <w:p w14:paraId="55CE5448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N°</w:t>
            </w:r>
          </w:p>
        </w:tc>
        <w:tc>
          <w:tcPr>
            <w:tcW w:w="1114" w:type="pct"/>
            <w:shd w:val="clear" w:color="auto" w:fill="1F4E79"/>
          </w:tcPr>
          <w:p w14:paraId="67842CB7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Indicateur</w:t>
            </w:r>
          </w:p>
        </w:tc>
        <w:tc>
          <w:tcPr>
            <w:tcW w:w="1841" w:type="pct"/>
            <w:shd w:val="clear" w:color="auto" w:fill="1F4E79"/>
          </w:tcPr>
          <w:p w14:paraId="54B44B29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Objectif</w:t>
            </w:r>
          </w:p>
        </w:tc>
        <w:tc>
          <w:tcPr>
            <w:tcW w:w="1841" w:type="pct"/>
            <w:shd w:val="clear" w:color="auto" w:fill="1F4E79"/>
          </w:tcPr>
          <w:p w14:paraId="23B44634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Commentaire / lecture</w:t>
            </w:r>
          </w:p>
        </w:tc>
      </w:tr>
      <w:tr w:rsidR="00391125" w:rsidRPr="0072514B" w14:paraId="516AA122" w14:textId="77777777" w:rsidTr="00A85A3A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58458F21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49</w:t>
            </w:r>
          </w:p>
        </w:tc>
        <w:tc>
          <w:tcPr>
            <w:tcW w:w="1114" w:type="pct"/>
          </w:tcPr>
          <w:p w14:paraId="7F90B72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Produits d'épargne inactifs encore utilisés par des comptes</w:t>
            </w:r>
          </w:p>
        </w:tc>
        <w:tc>
          <w:tcPr>
            <w:tcW w:w="1841" w:type="pct"/>
          </w:tcPr>
          <w:p w14:paraId="6DD069E0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Identifier les comptes encore rattachés à des produits d'épargne inactifs.</w:t>
            </w:r>
          </w:p>
        </w:tc>
        <w:tc>
          <w:tcPr>
            <w:tcW w:w="1841" w:type="pct"/>
          </w:tcPr>
          <w:p w14:paraId="6F7AB47A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Ces comptes doivent </w:t>
            </w:r>
            <w:r w:rsidR="00FF6CA5" w:rsidRPr="0072514B">
              <w:rPr>
                <w:rFonts w:ascii="Century Gothic" w:hAnsi="Century Gothic"/>
                <w:sz w:val="16"/>
              </w:rPr>
              <w:t>être</w:t>
            </w:r>
            <w:r w:rsidRPr="0072514B">
              <w:rPr>
                <w:rFonts w:ascii="Century Gothic" w:hAnsi="Century Gothic"/>
                <w:sz w:val="16"/>
              </w:rPr>
              <w:t xml:space="preserve"> </w:t>
            </w:r>
            <w:r w:rsidR="00FF6CA5" w:rsidRPr="0072514B">
              <w:rPr>
                <w:rFonts w:ascii="Century Gothic" w:hAnsi="Century Gothic"/>
                <w:sz w:val="16"/>
              </w:rPr>
              <w:t>vérifies</w:t>
            </w:r>
            <w:r w:rsidRPr="0072514B">
              <w:rPr>
                <w:rFonts w:ascii="Century Gothic" w:hAnsi="Century Gothic"/>
                <w:sz w:val="16"/>
              </w:rPr>
              <w:t xml:space="preserve"> pour confirmer si le produit devait encore </w:t>
            </w:r>
            <w:r w:rsidR="00FF6CA5" w:rsidRPr="0072514B">
              <w:rPr>
                <w:rFonts w:ascii="Century Gothic" w:hAnsi="Century Gothic"/>
                <w:sz w:val="16"/>
              </w:rPr>
              <w:t>être</w:t>
            </w:r>
            <w:r w:rsidRPr="0072514B">
              <w:rPr>
                <w:rFonts w:ascii="Century Gothic" w:hAnsi="Century Gothic"/>
                <w:sz w:val="16"/>
              </w:rPr>
              <w:t xml:space="preserve"> exploit</w:t>
            </w:r>
            <w:r w:rsidR="00FF6CA5" w:rsidRPr="0072514B">
              <w:rPr>
                <w:rFonts w:ascii="Century Gothic" w:hAnsi="Century Gothic"/>
                <w:sz w:val="16"/>
              </w:rPr>
              <w:t>é</w:t>
            </w:r>
            <w:r w:rsidRPr="0072514B">
              <w:rPr>
                <w:rFonts w:ascii="Century Gothic" w:hAnsi="Century Gothic"/>
                <w:sz w:val="16"/>
              </w:rPr>
              <w:t xml:space="preserve"> ou </w:t>
            </w:r>
            <w:r w:rsidR="00FF6CA5" w:rsidRPr="0072514B">
              <w:rPr>
                <w:rFonts w:ascii="Century Gothic" w:hAnsi="Century Gothic"/>
                <w:sz w:val="16"/>
              </w:rPr>
              <w:t>être</w:t>
            </w:r>
            <w:r w:rsidRPr="0072514B">
              <w:rPr>
                <w:rFonts w:ascii="Century Gothic" w:hAnsi="Century Gothic"/>
                <w:sz w:val="16"/>
              </w:rPr>
              <w:t xml:space="preserve"> </w:t>
            </w:r>
            <w:r w:rsidR="00FF6CA5" w:rsidRPr="0072514B">
              <w:rPr>
                <w:rFonts w:ascii="Century Gothic" w:hAnsi="Century Gothic"/>
                <w:sz w:val="16"/>
              </w:rPr>
              <w:t>clôturé</w:t>
            </w:r>
            <w:r w:rsidRPr="0072514B">
              <w:rPr>
                <w:rFonts w:ascii="Century Gothic" w:hAnsi="Century Gothic"/>
                <w:sz w:val="16"/>
              </w:rPr>
              <w:t>/migr</w:t>
            </w:r>
            <w:r w:rsidR="00FF6CA5" w:rsidRPr="0072514B">
              <w:rPr>
                <w:rFonts w:ascii="Century Gothic" w:hAnsi="Century Gothic"/>
                <w:sz w:val="16"/>
              </w:rPr>
              <w:t>é</w:t>
            </w:r>
            <w:r w:rsidRPr="0072514B">
              <w:rPr>
                <w:rFonts w:ascii="Century Gothic" w:hAnsi="Century Gothic"/>
                <w:sz w:val="16"/>
              </w:rPr>
              <w:t>.</w:t>
            </w:r>
          </w:p>
        </w:tc>
      </w:tr>
      <w:tr w:rsidR="00391125" w:rsidRPr="0072514B" w14:paraId="6A3FAAF2" w14:textId="77777777" w:rsidTr="00A85A3A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02B47617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50</w:t>
            </w:r>
          </w:p>
        </w:tc>
        <w:tc>
          <w:tcPr>
            <w:tcW w:w="1114" w:type="pct"/>
          </w:tcPr>
          <w:p w14:paraId="6022F093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Produits d'épargne non validés encore utilisés par des comptes</w:t>
            </w:r>
          </w:p>
        </w:tc>
        <w:tc>
          <w:tcPr>
            <w:tcW w:w="1841" w:type="pct"/>
          </w:tcPr>
          <w:p w14:paraId="3774154A" w14:textId="77777777" w:rsidR="00391125" w:rsidRPr="0072514B" w:rsidRDefault="005869EE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Repérer</w:t>
            </w:r>
            <w:r w:rsidR="00B25A6C" w:rsidRPr="0072514B">
              <w:rPr>
                <w:rFonts w:ascii="Century Gothic" w:hAnsi="Century Gothic"/>
                <w:sz w:val="16"/>
              </w:rPr>
              <w:t xml:space="preserve"> les comptes rattachés à des produits non validés.</w:t>
            </w:r>
          </w:p>
        </w:tc>
        <w:tc>
          <w:tcPr>
            <w:tcW w:w="1841" w:type="pct"/>
          </w:tcPr>
          <w:p w14:paraId="7B619936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Utile pour la régularisation des paramètres produits et le nettoyage du portefeuille épargne.</w:t>
            </w:r>
          </w:p>
        </w:tc>
      </w:tr>
      <w:tr w:rsidR="00391125" w:rsidRPr="0072514B" w14:paraId="413A517F" w14:textId="77777777" w:rsidTr="00A85A3A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278DE959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51</w:t>
            </w:r>
          </w:p>
        </w:tc>
        <w:tc>
          <w:tcPr>
            <w:tcW w:w="1114" w:type="pct"/>
          </w:tcPr>
          <w:p w14:paraId="0A3DB03C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Produits sans dépôt/retrait autorisé mais avec mouvements sur les comptes</w:t>
            </w:r>
          </w:p>
        </w:tc>
        <w:tc>
          <w:tcPr>
            <w:tcW w:w="1841" w:type="pct"/>
          </w:tcPr>
          <w:p w14:paraId="7B9EAA69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Contrôler la cohérence entre les règles produit et les mouvements observés.</w:t>
            </w:r>
          </w:p>
        </w:tc>
        <w:tc>
          <w:tcPr>
            <w:tcW w:w="1841" w:type="pct"/>
          </w:tcPr>
          <w:p w14:paraId="10FC7C54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Dans cette lecture, un mouvement créditeur sur un compte client est assimilé à un dépôt et un mouvement débiteur à un retrait.</w:t>
            </w:r>
          </w:p>
        </w:tc>
      </w:tr>
      <w:tr w:rsidR="00391125" w:rsidRPr="0072514B" w14:paraId="7E76D4A7" w14:textId="77777777" w:rsidTr="00A85A3A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75554AB4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52</w:t>
            </w:r>
          </w:p>
        </w:tc>
        <w:tc>
          <w:tcPr>
            <w:tcW w:w="1114" w:type="pct"/>
          </w:tcPr>
          <w:p w14:paraId="641FC5DD" w14:textId="77777777" w:rsidR="00391125" w:rsidRPr="0072514B" w:rsidRDefault="005869EE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Incohérences</w:t>
            </w:r>
            <w:r w:rsidR="00B25A6C" w:rsidRPr="0072514B">
              <w:rPr>
                <w:rFonts w:ascii="Century Gothic" w:hAnsi="Century Gothic"/>
                <w:sz w:val="16"/>
              </w:rPr>
              <w:t xml:space="preserve"> entre devise du produit, du compte et du mouvement</w:t>
            </w:r>
          </w:p>
        </w:tc>
        <w:tc>
          <w:tcPr>
            <w:tcW w:w="1841" w:type="pct"/>
          </w:tcPr>
          <w:p w14:paraId="31F68D79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Détecter les différences de devise susceptibles de fausser les traitements épargne.</w:t>
            </w:r>
          </w:p>
        </w:tc>
        <w:tc>
          <w:tcPr>
            <w:tcW w:w="1841" w:type="pct"/>
          </w:tcPr>
          <w:p w14:paraId="5A9E1ACB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Une incohérence doit </w:t>
            </w:r>
            <w:r w:rsidR="005869EE" w:rsidRPr="0072514B">
              <w:rPr>
                <w:rFonts w:ascii="Century Gothic" w:hAnsi="Century Gothic"/>
                <w:sz w:val="16"/>
              </w:rPr>
              <w:t>être</w:t>
            </w:r>
            <w:r w:rsidRPr="0072514B">
              <w:rPr>
                <w:rFonts w:ascii="Century Gothic" w:hAnsi="Century Gothic"/>
                <w:sz w:val="16"/>
              </w:rPr>
              <w:t xml:space="preserve"> analysée selon la </w:t>
            </w:r>
            <w:r w:rsidR="005869EE" w:rsidRPr="0072514B">
              <w:rPr>
                <w:rFonts w:ascii="Century Gothic" w:hAnsi="Century Gothic"/>
                <w:sz w:val="16"/>
              </w:rPr>
              <w:t>règle</w:t>
            </w:r>
            <w:r w:rsidRPr="0072514B">
              <w:rPr>
                <w:rFonts w:ascii="Century Gothic" w:hAnsi="Century Gothic"/>
                <w:sz w:val="16"/>
              </w:rPr>
              <w:t xml:space="preserve"> métier du produit, du compte et du mouvement comptable.</w:t>
            </w:r>
          </w:p>
        </w:tc>
      </w:tr>
      <w:tr w:rsidR="00391125" w:rsidRPr="0072514B" w14:paraId="3FA01AFA" w14:textId="77777777" w:rsidTr="00A85A3A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2FC914FD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53</w:t>
            </w:r>
          </w:p>
        </w:tc>
        <w:tc>
          <w:tcPr>
            <w:tcW w:w="1114" w:type="pct"/>
          </w:tcPr>
          <w:p w14:paraId="5036ED60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Comptes rattachés à un produit épargne inexistant ou invalide</w:t>
            </w:r>
          </w:p>
        </w:tc>
        <w:tc>
          <w:tcPr>
            <w:tcW w:w="1841" w:type="pct"/>
          </w:tcPr>
          <w:p w14:paraId="663D4FF1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Lister les comptes sans produit référence ou lies à un produit non exploitable.</w:t>
            </w:r>
          </w:p>
        </w:tc>
        <w:tc>
          <w:tcPr>
            <w:tcW w:w="1841" w:type="pct"/>
          </w:tcPr>
          <w:p w14:paraId="5930C91C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Ces cas perturbent la supervision du portefeuille et doivent </w:t>
            </w:r>
            <w:r w:rsidR="005869EE" w:rsidRPr="0072514B">
              <w:rPr>
                <w:rFonts w:ascii="Century Gothic" w:hAnsi="Century Gothic"/>
                <w:sz w:val="16"/>
              </w:rPr>
              <w:t>être</w:t>
            </w:r>
            <w:r w:rsidRPr="0072514B">
              <w:rPr>
                <w:rFonts w:ascii="Century Gothic" w:hAnsi="Century Gothic"/>
                <w:sz w:val="16"/>
              </w:rPr>
              <w:t xml:space="preserve"> </w:t>
            </w:r>
            <w:r w:rsidR="005869EE" w:rsidRPr="0072514B">
              <w:rPr>
                <w:rFonts w:ascii="Century Gothic" w:hAnsi="Century Gothic"/>
                <w:sz w:val="16"/>
              </w:rPr>
              <w:t>régularisés</w:t>
            </w:r>
            <w:r w:rsidRPr="0072514B">
              <w:rPr>
                <w:rFonts w:ascii="Century Gothic" w:hAnsi="Century Gothic"/>
                <w:sz w:val="16"/>
              </w:rPr>
              <w:t xml:space="preserve"> en </w:t>
            </w:r>
            <w:r w:rsidR="005869EE" w:rsidRPr="0072514B">
              <w:rPr>
                <w:rFonts w:ascii="Century Gothic" w:hAnsi="Century Gothic"/>
                <w:sz w:val="16"/>
              </w:rPr>
              <w:t>priorité</w:t>
            </w:r>
            <w:r w:rsidRPr="0072514B">
              <w:rPr>
                <w:rFonts w:ascii="Century Gothic" w:hAnsi="Century Gothic"/>
                <w:sz w:val="16"/>
              </w:rPr>
              <w:t>.</w:t>
            </w:r>
          </w:p>
        </w:tc>
      </w:tr>
      <w:tr w:rsidR="00391125" w:rsidRPr="0072514B" w14:paraId="1DC1961F" w14:textId="77777777" w:rsidTr="00A85A3A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7C37C08F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54</w:t>
            </w:r>
          </w:p>
        </w:tc>
        <w:tc>
          <w:tcPr>
            <w:tcW w:w="1114" w:type="pct"/>
          </w:tcPr>
          <w:p w14:paraId="01E322B1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Mouvements HDPM_VIEW sans compte, avec compte inexistant ou sans opération </w:t>
            </w:r>
            <w:r w:rsidR="003E21DF" w:rsidRPr="0072514B">
              <w:rPr>
                <w:rFonts w:ascii="Century Gothic" w:hAnsi="Century Gothic"/>
                <w:sz w:val="16"/>
              </w:rPr>
              <w:t>rattachée</w:t>
            </w:r>
          </w:p>
        </w:tc>
        <w:tc>
          <w:tcPr>
            <w:tcW w:w="1841" w:type="pct"/>
          </w:tcPr>
          <w:p w14:paraId="01B693C8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Contrôler les références minimales des mouvements.</w:t>
            </w:r>
          </w:p>
        </w:tc>
        <w:tc>
          <w:tcPr>
            <w:tcW w:w="1841" w:type="pct"/>
          </w:tcPr>
          <w:p w14:paraId="54500AF7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Cette </w:t>
            </w:r>
            <w:r w:rsidR="003E21DF" w:rsidRPr="0072514B">
              <w:rPr>
                <w:rFonts w:ascii="Century Gothic" w:hAnsi="Century Gothic"/>
                <w:sz w:val="16"/>
              </w:rPr>
              <w:t>requête</w:t>
            </w:r>
            <w:r w:rsidRPr="0072514B">
              <w:rPr>
                <w:rFonts w:ascii="Century Gothic" w:hAnsi="Century Gothic"/>
                <w:sz w:val="16"/>
              </w:rPr>
              <w:t xml:space="preserve"> exploite HDPM_VIEW comme source de référence pour les mouvements back-office et API/mobile.</w:t>
            </w:r>
          </w:p>
        </w:tc>
      </w:tr>
      <w:tr w:rsidR="00391125" w:rsidRPr="0072514B" w14:paraId="04E26599" w14:textId="77777777" w:rsidTr="00A85A3A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26A8E0C8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55</w:t>
            </w:r>
          </w:p>
        </w:tc>
        <w:tc>
          <w:tcPr>
            <w:tcW w:w="1114" w:type="pct"/>
          </w:tcPr>
          <w:p w14:paraId="37C41101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Mouvements avec montant nul, négatif ou superieur au seuil de revue</w:t>
            </w:r>
          </w:p>
        </w:tc>
        <w:tc>
          <w:tcPr>
            <w:tcW w:w="1841" w:type="pct"/>
          </w:tcPr>
          <w:p w14:paraId="77CD1D9D" w14:textId="794DF1F2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Isoler les montants qui </w:t>
            </w:r>
            <w:r w:rsidR="00DF29D7" w:rsidRPr="0072514B">
              <w:rPr>
                <w:rFonts w:ascii="Century Gothic" w:hAnsi="Century Gothic"/>
                <w:sz w:val="16"/>
              </w:rPr>
              <w:t>méritent</w:t>
            </w:r>
            <w:r w:rsidRPr="0072514B">
              <w:rPr>
                <w:rFonts w:ascii="Century Gothic" w:hAnsi="Century Gothic"/>
                <w:sz w:val="16"/>
              </w:rPr>
              <w:t xml:space="preserve"> une </w:t>
            </w:r>
            <w:r w:rsidR="00DF29D7" w:rsidRPr="0072514B">
              <w:rPr>
                <w:rFonts w:ascii="Century Gothic" w:hAnsi="Century Gothic"/>
                <w:sz w:val="16"/>
              </w:rPr>
              <w:t>vérification</w:t>
            </w:r>
            <w:r w:rsidRPr="0072514B">
              <w:rPr>
                <w:rFonts w:ascii="Century Gothic" w:hAnsi="Century Gothic"/>
                <w:sz w:val="16"/>
              </w:rPr>
              <w:t xml:space="preserve"> prioritaire.</w:t>
            </w:r>
          </w:p>
        </w:tc>
        <w:tc>
          <w:tcPr>
            <w:tcW w:w="1841" w:type="pct"/>
          </w:tcPr>
          <w:p w14:paraId="12F61077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Le seuil élevé s'appuie sur @seuil_10k_usd_cdf s'il est renseigne, sinon une valeur pilote de 10 000 000.</w:t>
            </w:r>
          </w:p>
        </w:tc>
      </w:tr>
      <w:tr w:rsidR="00391125" w:rsidRPr="0072514B" w14:paraId="6F0E5E5E" w14:textId="77777777" w:rsidTr="00A85A3A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7C60532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56</w:t>
            </w:r>
          </w:p>
        </w:tc>
        <w:tc>
          <w:tcPr>
            <w:tcW w:w="1114" w:type="pct"/>
          </w:tcPr>
          <w:p w14:paraId="1663F92F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Dépôts et retraits par client, compte, agence, devise et produit</w:t>
            </w:r>
          </w:p>
        </w:tc>
        <w:tc>
          <w:tcPr>
            <w:tcW w:w="1841" w:type="pct"/>
          </w:tcPr>
          <w:p w14:paraId="145B4217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Produire une lecture consolidée de l’activité épargne sur la période.</w:t>
            </w:r>
          </w:p>
        </w:tc>
        <w:tc>
          <w:tcPr>
            <w:tcW w:w="1841" w:type="pct"/>
          </w:tcPr>
          <w:p w14:paraId="0C0320CF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Les crédits sur compte client sont lus comme dépôts et les débits comme retraits/sorties.</w:t>
            </w:r>
          </w:p>
        </w:tc>
      </w:tr>
      <w:tr w:rsidR="00391125" w:rsidRPr="0072514B" w14:paraId="6E4D9675" w14:textId="77777777" w:rsidTr="00A85A3A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15472CB2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57</w:t>
            </w:r>
          </w:p>
        </w:tc>
        <w:tc>
          <w:tcPr>
            <w:tcW w:w="1114" w:type="pct"/>
          </w:tcPr>
          <w:p w14:paraId="668A558B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Analyse des gros mouvements par période</w:t>
            </w:r>
          </w:p>
        </w:tc>
        <w:tc>
          <w:tcPr>
            <w:tcW w:w="1841" w:type="pct"/>
          </w:tcPr>
          <w:p w14:paraId="6400AE21" w14:textId="62FD8B5A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Suivre les mouvements </w:t>
            </w:r>
            <w:r w:rsidR="00DF29D7" w:rsidRPr="0072514B">
              <w:rPr>
                <w:rFonts w:ascii="Century Gothic" w:hAnsi="Century Gothic"/>
                <w:sz w:val="16"/>
              </w:rPr>
              <w:t>supérieurs</w:t>
            </w:r>
            <w:r w:rsidRPr="0072514B">
              <w:rPr>
                <w:rFonts w:ascii="Century Gothic" w:hAnsi="Century Gothic"/>
                <w:sz w:val="16"/>
              </w:rPr>
              <w:t xml:space="preserve"> au seuil de revue par mois, agence et devise.</w:t>
            </w:r>
          </w:p>
        </w:tc>
        <w:tc>
          <w:tcPr>
            <w:tcW w:w="1841" w:type="pct"/>
          </w:tcPr>
          <w:p w14:paraId="092512C4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Utile pour la supervision LBC-FT, le pilotage des pics d'activité et la revue des opérations sensibles.</w:t>
            </w:r>
          </w:p>
        </w:tc>
      </w:tr>
      <w:tr w:rsidR="00391125" w:rsidRPr="0072514B" w14:paraId="30AE690F" w14:textId="77777777" w:rsidTr="00A85A3A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3191FB9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58</w:t>
            </w:r>
          </w:p>
        </w:tc>
        <w:tc>
          <w:tcPr>
            <w:tcW w:w="1114" w:type="pct"/>
          </w:tcPr>
          <w:p w14:paraId="486EB2A4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Analyse des mouvements par point de service</w:t>
            </w:r>
          </w:p>
        </w:tc>
        <w:tc>
          <w:tcPr>
            <w:tcW w:w="1841" w:type="pct"/>
          </w:tcPr>
          <w:p w14:paraId="59C81A0A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Comparer l’activité mouvements entre points de service.</w:t>
            </w:r>
          </w:p>
        </w:tc>
        <w:tc>
          <w:tcPr>
            <w:tcW w:w="1841" w:type="pct"/>
          </w:tcPr>
          <w:p w14:paraId="6C9BD104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Aide à cibler les agences les plus actives et celles qui demandent une revue plus fine.</w:t>
            </w:r>
          </w:p>
        </w:tc>
      </w:tr>
    </w:tbl>
    <w:p w14:paraId="2E013FCA" w14:textId="77777777" w:rsidR="00391125" w:rsidRPr="0072514B" w:rsidRDefault="00391125">
      <w:pPr>
        <w:rPr>
          <w:rFonts w:ascii="Century Gothic" w:hAnsi="Century Gothic"/>
        </w:rPr>
      </w:pPr>
    </w:p>
    <w:p w14:paraId="00F8EBF9" w14:textId="77777777" w:rsidR="001E153D" w:rsidRPr="0072514B" w:rsidRDefault="001E153D">
      <w:pPr>
        <w:rPr>
          <w:rFonts w:ascii="Century Gothic" w:hAnsi="Century Gothic"/>
        </w:rPr>
      </w:pPr>
    </w:p>
    <w:p w14:paraId="68815CC9" w14:textId="77777777" w:rsidR="001E153D" w:rsidRPr="0072514B" w:rsidRDefault="001E153D">
      <w:pPr>
        <w:rPr>
          <w:rFonts w:ascii="Century Gothic" w:hAnsi="Century Gothic"/>
        </w:rPr>
      </w:pPr>
    </w:p>
    <w:p w14:paraId="45D1871A" w14:textId="77777777" w:rsidR="00391125" w:rsidRPr="0072514B" w:rsidRDefault="00B25A6C" w:rsidP="009E3D96">
      <w:pPr>
        <w:pStyle w:val="Titre2"/>
        <w:numPr>
          <w:ilvl w:val="0"/>
          <w:numId w:val="10"/>
        </w:numPr>
        <w:ind w:left="426"/>
        <w:rPr>
          <w:rFonts w:ascii="Century Gothic" w:hAnsi="Century Gothic"/>
        </w:rPr>
      </w:pPr>
      <w:r w:rsidRPr="0072514B">
        <w:rPr>
          <w:rFonts w:ascii="Century Gothic" w:hAnsi="Century Gothic"/>
          <w:color w:val="2F5496"/>
        </w:rPr>
        <w:lastRenderedPageBreak/>
        <w:t>Crédit : pipeline, portefeuille et priorisation</w:t>
      </w: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538"/>
        <w:gridCol w:w="2920"/>
        <w:gridCol w:w="4826"/>
        <w:gridCol w:w="4824"/>
      </w:tblGrid>
      <w:tr w:rsidR="00391125" w:rsidRPr="0072514B" w14:paraId="647E0C60" w14:textId="77777777" w:rsidTr="009E3D96">
        <w:trPr>
          <w:tblHeader/>
          <w:jc w:val="center"/>
        </w:trPr>
        <w:tc>
          <w:tcPr>
            <w:tcW w:w="205" w:type="pct"/>
            <w:shd w:val="clear" w:color="auto" w:fill="1F4E79"/>
          </w:tcPr>
          <w:p w14:paraId="1238CDF5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N°</w:t>
            </w:r>
          </w:p>
        </w:tc>
        <w:tc>
          <w:tcPr>
            <w:tcW w:w="1114" w:type="pct"/>
            <w:shd w:val="clear" w:color="auto" w:fill="1F4E79"/>
          </w:tcPr>
          <w:p w14:paraId="2841FDDB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Indicateur</w:t>
            </w:r>
          </w:p>
        </w:tc>
        <w:tc>
          <w:tcPr>
            <w:tcW w:w="1841" w:type="pct"/>
            <w:shd w:val="clear" w:color="auto" w:fill="1F4E79"/>
          </w:tcPr>
          <w:p w14:paraId="06B489D6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Objectif</w:t>
            </w:r>
          </w:p>
        </w:tc>
        <w:tc>
          <w:tcPr>
            <w:tcW w:w="1841" w:type="pct"/>
            <w:shd w:val="clear" w:color="auto" w:fill="1F4E79"/>
          </w:tcPr>
          <w:p w14:paraId="571890F6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Commentaire / lecture</w:t>
            </w:r>
          </w:p>
        </w:tc>
      </w:tr>
      <w:tr w:rsidR="00391125" w:rsidRPr="0072514B" w14:paraId="51E9959D" w14:textId="77777777" w:rsidTr="009E3D96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52ADA500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59</w:t>
            </w:r>
          </w:p>
        </w:tc>
        <w:tc>
          <w:tcPr>
            <w:tcW w:w="1114" w:type="pct"/>
          </w:tcPr>
          <w:p w14:paraId="6A9FE0F1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Demandes de crédit sans prêt accorde</w:t>
            </w:r>
          </w:p>
        </w:tc>
        <w:tc>
          <w:tcPr>
            <w:tcW w:w="1841" w:type="pct"/>
          </w:tcPr>
          <w:p w14:paraId="128565A1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Suivre les demandes </w:t>
            </w:r>
            <w:r w:rsidR="009E3D96" w:rsidRPr="0072514B">
              <w:rPr>
                <w:rFonts w:ascii="Century Gothic" w:hAnsi="Century Gothic"/>
                <w:sz w:val="16"/>
              </w:rPr>
              <w:t>reçues</w:t>
            </w:r>
            <w:r w:rsidRPr="0072514B">
              <w:rPr>
                <w:rFonts w:ascii="Century Gothic" w:hAnsi="Century Gothic"/>
                <w:sz w:val="16"/>
              </w:rPr>
              <w:t xml:space="preserve"> qui n’ont pas encore abouti à un prêt.</w:t>
            </w:r>
          </w:p>
        </w:tc>
        <w:tc>
          <w:tcPr>
            <w:tcW w:w="1841" w:type="pct"/>
          </w:tcPr>
          <w:p w14:paraId="2298906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Utile pour le pipeline crédit, les relances et la supervision des dossiers en attente.</w:t>
            </w:r>
          </w:p>
        </w:tc>
      </w:tr>
      <w:tr w:rsidR="00391125" w:rsidRPr="0072514B" w14:paraId="707A8C12" w14:textId="77777777" w:rsidTr="009E3D96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091D9715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60</w:t>
            </w:r>
          </w:p>
        </w:tc>
        <w:tc>
          <w:tcPr>
            <w:tcW w:w="1114" w:type="pct"/>
          </w:tcPr>
          <w:p w14:paraId="4F39BB72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Prêts incomplets : sans dossier, sans compte crédit, sans compte épargne ou sans cycle</w:t>
            </w:r>
          </w:p>
        </w:tc>
        <w:tc>
          <w:tcPr>
            <w:tcW w:w="1841" w:type="pct"/>
          </w:tcPr>
          <w:p w14:paraId="74D8F4C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Identifier les prêts dont la structure de référence est incomplète.</w:t>
            </w:r>
          </w:p>
        </w:tc>
        <w:tc>
          <w:tcPr>
            <w:tcW w:w="1841" w:type="pct"/>
          </w:tcPr>
          <w:p w14:paraId="42346E5C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Un prêt incomplet expose à des limites de suivi, de recouvrement ou de reporting.</w:t>
            </w:r>
          </w:p>
        </w:tc>
      </w:tr>
      <w:tr w:rsidR="00391125" w:rsidRPr="0072514B" w14:paraId="763DB866" w14:textId="77777777" w:rsidTr="009E3D96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285C87C6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61</w:t>
            </w:r>
          </w:p>
        </w:tc>
        <w:tc>
          <w:tcPr>
            <w:tcW w:w="1114" w:type="pct"/>
          </w:tcPr>
          <w:p w14:paraId="00D18CE0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Cycles de prêt avec </w:t>
            </w:r>
            <w:r w:rsidR="00926316" w:rsidRPr="0072514B">
              <w:rPr>
                <w:rFonts w:ascii="Century Gothic" w:hAnsi="Century Gothic"/>
                <w:sz w:val="16"/>
              </w:rPr>
              <w:t>échéance</w:t>
            </w:r>
            <w:r w:rsidRPr="0072514B">
              <w:rPr>
                <w:rFonts w:ascii="Century Gothic" w:hAnsi="Century Gothic"/>
                <w:sz w:val="16"/>
              </w:rPr>
              <w:t xml:space="preserve"> </w:t>
            </w:r>
            <w:r w:rsidR="00926316" w:rsidRPr="0072514B">
              <w:rPr>
                <w:rFonts w:ascii="Century Gothic" w:hAnsi="Century Gothic"/>
                <w:sz w:val="16"/>
              </w:rPr>
              <w:t>dépassée</w:t>
            </w:r>
            <w:r w:rsidRPr="0072514B">
              <w:rPr>
                <w:rFonts w:ascii="Century Gothic" w:hAnsi="Century Gothic"/>
                <w:sz w:val="16"/>
              </w:rPr>
              <w:t xml:space="preserve"> et non </w:t>
            </w:r>
            <w:r w:rsidR="00926316" w:rsidRPr="0072514B">
              <w:rPr>
                <w:rFonts w:ascii="Century Gothic" w:hAnsi="Century Gothic"/>
                <w:sz w:val="16"/>
              </w:rPr>
              <w:t>clôturée</w:t>
            </w:r>
          </w:p>
        </w:tc>
        <w:tc>
          <w:tcPr>
            <w:tcW w:w="1841" w:type="pct"/>
          </w:tcPr>
          <w:p w14:paraId="02162DF8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Détecter les cycles encore ouverts au-delà de leur fin d'</w:t>
            </w:r>
            <w:r w:rsidR="00926316" w:rsidRPr="0072514B">
              <w:rPr>
                <w:rFonts w:ascii="Century Gothic" w:hAnsi="Century Gothic"/>
                <w:sz w:val="16"/>
              </w:rPr>
              <w:t>échéance</w:t>
            </w:r>
            <w:r w:rsidRPr="0072514B">
              <w:rPr>
                <w:rFonts w:ascii="Century Gothic" w:hAnsi="Century Gothic"/>
                <w:sz w:val="16"/>
              </w:rPr>
              <w:t>.</w:t>
            </w:r>
          </w:p>
        </w:tc>
        <w:tc>
          <w:tcPr>
            <w:tcW w:w="1841" w:type="pct"/>
          </w:tcPr>
          <w:p w14:paraId="27EE263D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Ces cas signalent un besoin de suivi crédit, de recouvrement ou de régularisation de </w:t>
            </w:r>
            <w:r w:rsidR="00926316" w:rsidRPr="0072514B">
              <w:rPr>
                <w:rFonts w:ascii="Century Gothic" w:hAnsi="Century Gothic"/>
                <w:sz w:val="16"/>
              </w:rPr>
              <w:t>clôturé</w:t>
            </w:r>
            <w:r w:rsidRPr="0072514B">
              <w:rPr>
                <w:rFonts w:ascii="Century Gothic" w:hAnsi="Century Gothic"/>
                <w:sz w:val="16"/>
              </w:rPr>
              <w:t>.</w:t>
            </w:r>
          </w:p>
        </w:tc>
      </w:tr>
      <w:tr w:rsidR="00391125" w:rsidRPr="0072514B" w14:paraId="38B05ACA" w14:textId="77777777" w:rsidTr="009E3D96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38D8287D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62</w:t>
            </w:r>
          </w:p>
        </w:tc>
        <w:tc>
          <w:tcPr>
            <w:tcW w:w="1114" w:type="pct"/>
          </w:tcPr>
          <w:p w14:paraId="57961634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Comparaison entre montant demande et montant accorde</w:t>
            </w:r>
          </w:p>
        </w:tc>
        <w:tc>
          <w:tcPr>
            <w:tcW w:w="1841" w:type="pct"/>
          </w:tcPr>
          <w:p w14:paraId="33DEBE14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Comparer le montant demande au niveau de la demande, du dossier et du prêt.</w:t>
            </w:r>
          </w:p>
        </w:tc>
        <w:tc>
          <w:tcPr>
            <w:tcW w:w="1841" w:type="pct"/>
          </w:tcPr>
          <w:p w14:paraId="032EE268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Utile pour suivre les </w:t>
            </w:r>
            <w:r w:rsidR="003126DC" w:rsidRPr="0072514B">
              <w:rPr>
                <w:rFonts w:ascii="Century Gothic" w:hAnsi="Century Gothic"/>
                <w:sz w:val="16"/>
              </w:rPr>
              <w:t>réductions</w:t>
            </w:r>
            <w:r w:rsidRPr="0072514B">
              <w:rPr>
                <w:rFonts w:ascii="Century Gothic" w:hAnsi="Century Gothic"/>
                <w:sz w:val="16"/>
              </w:rPr>
              <w:t xml:space="preserve">, les </w:t>
            </w:r>
            <w:r w:rsidR="003126DC" w:rsidRPr="0072514B">
              <w:rPr>
                <w:rFonts w:ascii="Century Gothic" w:hAnsi="Century Gothic"/>
                <w:sz w:val="16"/>
              </w:rPr>
              <w:t>renégociations</w:t>
            </w:r>
            <w:r w:rsidRPr="0072514B">
              <w:rPr>
                <w:rFonts w:ascii="Century Gothic" w:hAnsi="Century Gothic"/>
                <w:sz w:val="16"/>
              </w:rPr>
              <w:t xml:space="preserve"> et les écarts d'octroi.</w:t>
            </w:r>
          </w:p>
        </w:tc>
      </w:tr>
      <w:tr w:rsidR="00391125" w:rsidRPr="0072514B" w14:paraId="19C8F6EE" w14:textId="77777777" w:rsidTr="009E3D96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6097DB43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63</w:t>
            </w:r>
          </w:p>
        </w:tc>
        <w:tc>
          <w:tcPr>
            <w:tcW w:w="1114" w:type="pct"/>
          </w:tcPr>
          <w:p w14:paraId="3CC38F0D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Analyse des crédits par agence, produit, devise et </w:t>
            </w:r>
            <w:r w:rsidR="00C863B7" w:rsidRPr="0072514B">
              <w:rPr>
                <w:rFonts w:ascii="Century Gothic" w:hAnsi="Century Gothic"/>
                <w:sz w:val="16"/>
              </w:rPr>
              <w:t>état</w:t>
            </w:r>
          </w:p>
        </w:tc>
        <w:tc>
          <w:tcPr>
            <w:tcW w:w="1841" w:type="pct"/>
          </w:tcPr>
          <w:p w14:paraId="3553CD46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Fournir une vue d'aide à la </w:t>
            </w:r>
            <w:r w:rsidR="00295B58" w:rsidRPr="0072514B">
              <w:rPr>
                <w:rFonts w:ascii="Century Gothic" w:hAnsi="Century Gothic"/>
                <w:sz w:val="16"/>
              </w:rPr>
              <w:t>décision</w:t>
            </w:r>
            <w:r w:rsidRPr="0072514B">
              <w:rPr>
                <w:rFonts w:ascii="Century Gothic" w:hAnsi="Century Gothic"/>
                <w:sz w:val="16"/>
              </w:rPr>
              <w:t xml:space="preserve"> sur le pipeline de crédit.</w:t>
            </w:r>
          </w:p>
        </w:tc>
        <w:tc>
          <w:tcPr>
            <w:tcW w:w="1841" w:type="pct"/>
          </w:tcPr>
          <w:p w14:paraId="6AF6D151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La devise est lue depuis le prêt lorsqu’elle existe, sinon depuis le produit crédit.</w:t>
            </w:r>
          </w:p>
        </w:tc>
      </w:tr>
      <w:tr w:rsidR="00391125" w:rsidRPr="0072514B" w14:paraId="1220F126" w14:textId="77777777" w:rsidTr="009E3D96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4DB5CE85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64</w:t>
            </w:r>
          </w:p>
        </w:tc>
        <w:tc>
          <w:tcPr>
            <w:tcW w:w="1114" w:type="pct"/>
          </w:tcPr>
          <w:p w14:paraId="52C097C9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Clients avec forte activité d'épargne et crédit actif</w:t>
            </w:r>
          </w:p>
        </w:tc>
        <w:tc>
          <w:tcPr>
            <w:tcW w:w="1841" w:type="pct"/>
          </w:tcPr>
          <w:p w14:paraId="418BE132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Cibler les clients très actifs en épargne qui ont aussi un prêt encore ouvert.</w:t>
            </w:r>
          </w:p>
        </w:tc>
        <w:tc>
          <w:tcPr>
            <w:tcW w:w="1841" w:type="pct"/>
          </w:tcPr>
          <w:p w14:paraId="2E4B1993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Un prêt est </w:t>
            </w:r>
            <w:r w:rsidR="00344BFA" w:rsidRPr="0072514B">
              <w:rPr>
                <w:rFonts w:ascii="Century Gothic" w:hAnsi="Century Gothic"/>
                <w:sz w:val="16"/>
              </w:rPr>
              <w:t>considéré</w:t>
            </w:r>
            <w:r w:rsidRPr="0072514B">
              <w:rPr>
                <w:rFonts w:ascii="Century Gothic" w:hAnsi="Century Gothic"/>
                <w:sz w:val="16"/>
              </w:rPr>
              <w:t xml:space="preserve"> actif ici s'il n’est ni solde, ni sorti, ni passe en perte.</w:t>
            </w:r>
          </w:p>
        </w:tc>
      </w:tr>
      <w:tr w:rsidR="00391125" w:rsidRPr="0072514B" w14:paraId="3BAFAED7" w14:textId="77777777" w:rsidTr="009E3D96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14D002F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65</w:t>
            </w:r>
          </w:p>
        </w:tc>
        <w:tc>
          <w:tcPr>
            <w:tcW w:w="1114" w:type="pct"/>
          </w:tcPr>
          <w:p w14:paraId="0B0F88F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Clients avec plusieurs demandes de crédit sur une même période</w:t>
            </w:r>
          </w:p>
        </w:tc>
        <w:tc>
          <w:tcPr>
            <w:tcW w:w="1841" w:type="pct"/>
          </w:tcPr>
          <w:p w14:paraId="6E072D05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Détecter les clients qui multiplient les demandes sur un même mois.</w:t>
            </w:r>
          </w:p>
        </w:tc>
        <w:tc>
          <w:tcPr>
            <w:tcW w:w="1841" w:type="pct"/>
          </w:tcPr>
          <w:p w14:paraId="2457143A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Utile pour la vigilance commerciale, la qualité du pipeline et la revue du risque.</w:t>
            </w:r>
          </w:p>
        </w:tc>
      </w:tr>
      <w:tr w:rsidR="00391125" w:rsidRPr="0072514B" w14:paraId="7B77C2C0" w14:textId="77777777" w:rsidTr="009E3D96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5DD349AB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66</w:t>
            </w:r>
          </w:p>
        </w:tc>
        <w:tc>
          <w:tcPr>
            <w:tcW w:w="1114" w:type="pct"/>
          </w:tcPr>
          <w:p w14:paraId="0DBDFD9D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Agences avec volume élevé de mouvements ou de crédits</w:t>
            </w:r>
          </w:p>
        </w:tc>
        <w:tc>
          <w:tcPr>
            <w:tcW w:w="1841" w:type="pct"/>
          </w:tcPr>
          <w:p w14:paraId="4CB7375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Rapprocher la pression </w:t>
            </w:r>
            <w:r w:rsidR="00F013A7" w:rsidRPr="0072514B">
              <w:rPr>
                <w:rFonts w:ascii="Century Gothic" w:hAnsi="Century Gothic"/>
                <w:sz w:val="16"/>
              </w:rPr>
              <w:t>opérationnelle</w:t>
            </w:r>
            <w:r w:rsidRPr="0072514B">
              <w:rPr>
                <w:rFonts w:ascii="Century Gothic" w:hAnsi="Century Gothic"/>
                <w:sz w:val="16"/>
              </w:rPr>
              <w:t xml:space="preserve"> entre activité mouvement et activité crédit.</w:t>
            </w:r>
          </w:p>
        </w:tc>
        <w:tc>
          <w:tcPr>
            <w:tcW w:w="1841" w:type="pct"/>
          </w:tcPr>
          <w:p w14:paraId="2BD3E7F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La source indique si le volume provient des mouvements épargne ou du pipeline crédit.</w:t>
            </w:r>
          </w:p>
        </w:tc>
      </w:tr>
      <w:tr w:rsidR="00391125" w:rsidRPr="0072514B" w14:paraId="1BF1D4FB" w14:textId="77777777" w:rsidTr="009E3D96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3C774AE4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67</w:t>
            </w:r>
          </w:p>
        </w:tc>
        <w:tc>
          <w:tcPr>
            <w:tcW w:w="1114" w:type="pct"/>
          </w:tcPr>
          <w:p w14:paraId="4780F281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Produits d'épargne les plus utilisés et produits crédit les plus sollicites</w:t>
            </w:r>
          </w:p>
        </w:tc>
        <w:tc>
          <w:tcPr>
            <w:tcW w:w="1841" w:type="pct"/>
          </w:tcPr>
          <w:p w14:paraId="38E42B5C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Donner une lecture rapide des produits les plus mobilises.</w:t>
            </w:r>
          </w:p>
        </w:tc>
        <w:tc>
          <w:tcPr>
            <w:tcW w:w="1841" w:type="pct"/>
          </w:tcPr>
          <w:p w14:paraId="246042DD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La source distingue le produit épargne du produit crédit.</w:t>
            </w:r>
          </w:p>
        </w:tc>
      </w:tr>
      <w:tr w:rsidR="00391125" w:rsidRPr="0072514B" w14:paraId="1884F22D" w14:textId="77777777" w:rsidTr="009E3D96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2784599B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68</w:t>
            </w:r>
          </w:p>
        </w:tc>
        <w:tc>
          <w:tcPr>
            <w:tcW w:w="1114" w:type="pct"/>
          </w:tcPr>
          <w:p w14:paraId="1B6E6089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Anomalies a prioriser pour audit</w:t>
            </w:r>
          </w:p>
        </w:tc>
        <w:tc>
          <w:tcPr>
            <w:tcW w:w="1841" w:type="pct"/>
          </w:tcPr>
          <w:p w14:paraId="747A1759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Produire une </w:t>
            </w:r>
            <w:r w:rsidR="00F83CFB" w:rsidRPr="0072514B">
              <w:rPr>
                <w:rFonts w:ascii="Century Gothic" w:hAnsi="Century Gothic"/>
                <w:sz w:val="16"/>
              </w:rPr>
              <w:t>synthèse</w:t>
            </w:r>
            <w:r w:rsidRPr="0072514B">
              <w:rPr>
                <w:rFonts w:ascii="Century Gothic" w:hAnsi="Century Gothic"/>
                <w:sz w:val="16"/>
              </w:rPr>
              <w:t xml:space="preserve"> courte des principaux signaux d'alerte.</w:t>
            </w:r>
          </w:p>
        </w:tc>
        <w:tc>
          <w:tcPr>
            <w:tcW w:w="1841" w:type="pct"/>
          </w:tcPr>
          <w:p w14:paraId="0ADE9849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Ce tableau sert de point d'</w:t>
            </w:r>
            <w:r w:rsidR="00F83CFB" w:rsidRPr="0072514B">
              <w:rPr>
                <w:rFonts w:ascii="Century Gothic" w:hAnsi="Century Gothic"/>
                <w:sz w:val="16"/>
              </w:rPr>
              <w:t>entrée</w:t>
            </w:r>
            <w:r w:rsidRPr="0072514B">
              <w:rPr>
                <w:rFonts w:ascii="Century Gothic" w:hAnsi="Century Gothic"/>
                <w:sz w:val="16"/>
              </w:rPr>
              <w:t xml:space="preserve"> pour prioriser les revues d'audit et de supervision.</w:t>
            </w:r>
          </w:p>
        </w:tc>
      </w:tr>
    </w:tbl>
    <w:p w14:paraId="3F4B7107" w14:textId="77777777" w:rsidR="00391125" w:rsidRPr="0072514B" w:rsidRDefault="00391125">
      <w:pPr>
        <w:rPr>
          <w:rFonts w:ascii="Century Gothic" w:hAnsi="Century Gothic"/>
        </w:rPr>
      </w:pPr>
    </w:p>
    <w:p w14:paraId="4C3BFAB9" w14:textId="77777777" w:rsidR="00391125" w:rsidRPr="0072514B" w:rsidRDefault="00B25A6C" w:rsidP="00C04EA9">
      <w:pPr>
        <w:pStyle w:val="Titre2"/>
        <w:numPr>
          <w:ilvl w:val="0"/>
          <w:numId w:val="10"/>
        </w:numPr>
        <w:ind w:left="426"/>
        <w:rPr>
          <w:rFonts w:ascii="Century Gothic" w:hAnsi="Century Gothic"/>
        </w:rPr>
      </w:pPr>
      <w:r w:rsidRPr="0072514B">
        <w:rPr>
          <w:rFonts w:ascii="Century Gothic" w:hAnsi="Century Gothic"/>
          <w:color w:val="2F5496"/>
        </w:rPr>
        <w:t>Crédit : octroi, garanties, rééchelonnement et contentieux</w:t>
      </w: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538"/>
        <w:gridCol w:w="2920"/>
        <w:gridCol w:w="4826"/>
        <w:gridCol w:w="4824"/>
      </w:tblGrid>
      <w:tr w:rsidR="00391125" w:rsidRPr="0072514B" w14:paraId="7D59DB8F" w14:textId="77777777" w:rsidTr="00FB3137">
        <w:trPr>
          <w:tblHeader/>
          <w:jc w:val="center"/>
        </w:trPr>
        <w:tc>
          <w:tcPr>
            <w:tcW w:w="205" w:type="pct"/>
            <w:shd w:val="clear" w:color="auto" w:fill="1F4E79"/>
          </w:tcPr>
          <w:p w14:paraId="340E7B9A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N°</w:t>
            </w:r>
          </w:p>
        </w:tc>
        <w:tc>
          <w:tcPr>
            <w:tcW w:w="1114" w:type="pct"/>
            <w:shd w:val="clear" w:color="auto" w:fill="1F4E79"/>
          </w:tcPr>
          <w:p w14:paraId="2AA8881B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Indicateur</w:t>
            </w:r>
          </w:p>
        </w:tc>
        <w:tc>
          <w:tcPr>
            <w:tcW w:w="1841" w:type="pct"/>
            <w:shd w:val="clear" w:color="auto" w:fill="1F4E79"/>
          </w:tcPr>
          <w:p w14:paraId="1E7A4063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Objectif</w:t>
            </w:r>
          </w:p>
        </w:tc>
        <w:tc>
          <w:tcPr>
            <w:tcW w:w="1841" w:type="pct"/>
            <w:shd w:val="clear" w:color="auto" w:fill="1F4E79"/>
          </w:tcPr>
          <w:p w14:paraId="5304E1D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b/>
                <w:color w:val="FFFFFF"/>
                <w:sz w:val="17"/>
              </w:rPr>
              <w:t>Commentaire / lecture</w:t>
            </w:r>
          </w:p>
        </w:tc>
      </w:tr>
      <w:tr w:rsidR="00391125" w:rsidRPr="0072514B" w14:paraId="0CAAF0BB" w14:textId="77777777" w:rsidTr="00FB3137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7B48FBF3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69</w:t>
            </w:r>
          </w:p>
        </w:tc>
        <w:tc>
          <w:tcPr>
            <w:tcW w:w="1114" w:type="pct"/>
          </w:tcPr>
          <w:p w14:paraId="39F694FC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Prêts </w:t>
            </w:r>
            <w:r w:rsidR="00FB3137" w:rsidRPr="0072514B">
              <w:rPr>
                <w:rFonts w:ascii="Century Gothic" w:hAnsi="Century Gothic"/>
                <w:sz w:val="16"/>
              </w:rPr>
              <w:t>décaissés</w:t>
            </w:r>
            <w:r w:rsidRPr="0072514B">
              <w:rPr>
                <w:rFonts w:ascii="Century Gothic" w:hAnsi="Century Gothic"/>
                <w:sz w:val="16"/>
              </w:rPr>
              <w:t xml:space="preserve"> sans validation préalable exploitable</w:t>
            </w:r>
          </w:p>
        </w:tc>
        <w:tc>
          <w:tcPr>
            <w:tcW w:w="1841" w:type="pct"/>
          </w:tcPr>
          <w:p w14:paraId="43BE5D31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Vérifier qu’un prêt a bien fait l’objet d’une validation exploitable avant </w:t>
            </w:r>
            <w:r w:rsidR="008C0EE6" w:rsidRPr="0072514B">
              <w:rPr>
                <w:rFonts w:ascii="Century Gothic" w:hAnsi="Century Gothic"/>
                <w:sz w:val="16"/>
              </w:rPr>
              <w:t>déboursement</w:t>
            </w:r>
            <w:r w:rsidRPr="0072514B">
              <w:rPr>
                <w:rFonts w:ascii="Century Gothic" w:hAnsi="Century Gothic"/>
                <w:sz w:val="16"/>
              </w:rPr>
              <w:t>.</w:t>
            </w:r>
          </w:p>
        </w:tc>
        <w:tc>
          <w:tcPr>
            <w:tcW w:w="1841" w:type="pct"/>
          </w:tcPr>
          <w:p w14:paraId="7909EBE0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Signale les prêts sans validation, sans validation favorable ou avec validation </w:t>
            </w:r>
            <w:r w:rsidR="008C0EE6" w:rsidRPr="0072514B">
              <w:rPr>
                <w:rFonts w:ascii="Century Gothic" w:hAnsi="Century Gothic"/>
                <w:sz w:val="16"/>
              </w:rPr>
              <w:t>enregistrée</w:t>
            </w:r>
            <w:r w:rsidRPr="0072514B">
              <w:rPr>
                <w:rFonts w:ascii="Century Gothic" w:hAnsi="Century Gothic"/>
                <w:sz w:val="16"/>
              </w:rPr>
              <w:t xml:space="preserve"> après </w:t>
            </w:r>
            <w:r w:rsidR="008C0EE6" w:rsidRPr="0072514B">
              <w:rPr>
                <w:rFonts w:ascii="Century Gothic" w:hAnsi="Century Gothic"/>
                <w:sz w:val="16"/>
              </w:rPr>
              <w:t>déboursement</w:t>
            </w:r>
            <w:r w:rsidRPr="0072514B">
              <w:rPr>
                <w:rFonts w:ascii="Century Gothic" w:hAnsi="Century Gothic"/>
                <w:sz w:val="16"/>
              </w:rPr>
              <w:t>.</w:t>
            </w:r>
          </w:p>
        </w:tc>
      </w:tr>
      <w:tr w:rsidR="00391125" w:rsidRPr="0072514B" w14:paraId="504EBB34" w14:textId="77777777" w:rsidTr="00FB3137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14E1EF42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70</w:t>
            </w:r>
          </w:p>
        </w:tc>
        <w:tc>
          <w:tcPr>
            <w:tcW w:w="1114" w:type="pct"/>
          </w:tcPr>
          <w:p w14:paraId="3AA468BB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Couverture de garantie insuffisante par rapport à la tranche</w:t>
            </w:r>
          </w:p>
        </w:tc>
        <w:tc>
          <w:tcPr>
            <w:tcW w:w="1841" w:type="pct"/>
          </w:tcPr>
          <w:p w14:paraId="505298C9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Comparer la valeur des garanties à la couverture attendue pour le dossier.</w:t>
            </w:r>
          </w:p>
        </w:tc>
        <w:tc>
          <w:tcPr>
            <w:tcW w:w="1841" w:type="pct"/>
          </w:tcPr>
          <w:p w14:paraId="0BBC4278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Utile pour vérifier les dossiers dont la garantie réelle reste en dessous du minimum attendu.</w:t>
            </w:r>
          </w:p>
        </w:tc>
      </w:tr>
      <w:tr w:rsidR="00391125" w:rsidRPr="0072514B" w14:paraId="55855BEB" w14:textId="77777777" w:rsidTr="00FB3137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777089E9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71</w:t>
            </w:r>
          </w:p>
        </w:tc>
        <w:tc>
          <w:tcPr>
            <w:tcW w:w="1114" w:type="pct"/>
          </w:tcPr>
          <w:p w14:paraId="3367AF8C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Caution financière insuffisante par rapport au dossier</w:t>
            </w:r>
          </w:p>
        </w:tc>
        <w:tc>
          <w:tcPr>
            <w:tcW w:w="1841" w:type="pct"/>
          </w:tcPr>
          <w:p w14:paraId="2BC66A19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Rapprocher la caution </w:t>
            </w:r>
            <w:r w:rsidR="008C0EE6" w:rsidRPr="0072514B">
              <w:rPr>
                <w:rFonts w:ascii="Century Gothic" w:hAnsi="Century Gothic"/>
                <w:sz w:val="16"/>
              </w:rPr>
              <w:t>constatée</w:t>
            </w:r>
            <w:r w:rsidRPr="0072514B">
              <w:rPr>
                <w:rFonts w:ascii="Century Gothic" w:hAnsi="Century Gothic"/>
                <w:sz w:val="16"/>
              </w:rPr>
              <w:t>, le taux attendu et le minimum paramètre.</w:t>
            </w:r>
          </w:p>
        </w:tc>
        <w:tc>
          <w:tcPr>
            <w:tcW w:w="1841" w:type="pct"/>
          </w:tcPr>
          <w:p w14:paraId="75E10B8F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Signale les prêts dont la caution financière reste absente ou insuffisante.</w:t>
            </w:r>
          </w:p>
        </w:tc>
      </w:tr>
      <w:tr w:rsidR="00391125" w:rsidRPr="0072514B" w14:paraId="184D6101" w14:textId="77777777" w:rsidTr="00FB3137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782420A8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72</w:t>
            </w:r>
          </w:p>
        </w:tc>
        <w:tc>
          <w:tcPr>
            <w:tcW w:w="1114" w:type="pct"/>
          </w:tcPr>
          <w:p w14:paraId="1D05C884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Garanties sans garant identifiable ou sans pièce exploitable</w:t>
            </w:r>
          </w:p>
        </w:tc>
        <w:tc>
          <w:tcPr>
            <w:tcW w:w="1841" w:type="pct"/>
          </w:tcPr>
          <w:p w14:paraId="01EA309F" w14:textId="77777777" w:rsidR="00391125" w:rsidRPr="0072514B" w:rsidRDefault="00C81560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Repérer</w:t>
            </w:r>
            <w:r w:rsidR="00B25A6C" w:rsidRPr="0072514B">
              <w:rPr>
                <w:rFonts w:ascii="Century Gothic" w:hAnsi="Century Gothic"/>
                <w:sz w:val="16"/>
              </w:rPr>
              <w:t xml:space="preserve"> les garanties rattachées à un dossier mais sans garant correctement documente.</w:t>
            </w:r>
          </w:p>
        </w:tc>
        <w:tc>
          <w:tcPr>
            <w:tcW w:w="1841" w:type="pct"/>
          </w:tcPr>
          <w:p w14:paraId="1057EDE0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Permet de cibler les dossiers dont la garantie existe sur le papier mais reste fragile juridiquement.</w:t>
            </w:r>
          </w:p>
        </w:tc>
      </w:tr>
      <w:tr w:rsidR="00391125" w:rsidRPr="0072514B" w14:paraId="024CE3D5" w14:textId="77777777" w:rsidTr="00FB3137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6B8F1770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73</w:t>
            </w:r>
          </w:p>
        </w:tc>
        <w:tc>
          <w:tcPr>
            <w:tcW w:w="1114" w:type="pct"/>
          </w:tcPr>
          <w:p w14:paraId="6B8306B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Dossiers avec analyse obligatoire absente ou </w:t>
            </w:r>
            <w:r w:rsidR="00B811AB" w:rsidRPr="0072514B">
              <w:rPr>
                <w:rFonts w:ascii="Century Gothic" w:hAnsi="Century Gothic"/>
                <w:sz w:val="16"/>
              </w:rPr>
              <w:t>inachevée</w:t>
            </w:r>
          </w:p>
        </w:tc>
        <w:tc>
          <w:tcPr>
            <w:tcW w:w="1841" w:type="pct"/>
          </w:tcPr>
          <w:p w14:paraId="1CA685F6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Vérifier l’existence des analyses de revenu et de projet quand la tranche les exige.</w:t>
            </w:r>
          </w:p>
        </w:tc>
        <w:tc>
          <w:tcPr>
            <w:tcW w:w="1841" w:type="pct"/>
          </w:tcPr>
          <w:p w14:paraId="3B6DE73D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Très utile pour les contrôles d'octroi et la revue de la qualité documentaire.</w:t>
            </w:r>
          </w:p>
        </w:tc>
      </w:tr>
      <w:tr w:rsidR="00391125" w:rsidRPr="0072514B" w14:paraId="128C9DE6" w14:textId="77777777" w:rsidTr="00FB3137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5ACD1F98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74</w:t>
            </w:r>
          </w:p>
        </w:tc>
        <w:tc>
          <w:tcPr>
            <w:tcW w:w="1114" w:type="pct"/>
          </w:tcPr>
          <w:p w14:paraId="0A41F36D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Décaissements sans support exploitable ou avec montant </w:t>
            </w:r>
            <w:r w:rsidR="00B811AB" w:rsidRPr="0072514B">
              <w:rPr>
                <w:rFonts w:ascii="Century Gothic" w:hAnsi="Century Gothic"/>
                <w:sz w:val="16"/>
              </w:rPr>
              <w:t>incohérent</w:t>
            </w:r>
          </w:p>
        </w:tc>
        <w:tc>
          <w:tcPr>
            <w:tcW w:w="1841" w:type="pct"/>
          </w:tcPr>
          <w:p w14:paraId="1F24419D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Rapprocher le prêt, le ou les </w:t>
            </w:r>
            <w:r w:rsidR="00B811AB" w:rsidRPr="0072514B">
              <w:rPr>
                <w:rFonts w:ascii="Century Gothic" w:hAnsi="Century Gothic"/>
                <w:sz w:val="16"/>
              </w:rPr>
              <w:t>déblocages</w:t>
            </w:r>
            <w:r w:rsidRPr="0072514B">
              <w:rPr>
                <w:rFonts w:ascii="Century Gothic" w:hAnsi="Century Gothic"/>
                <w:sz w:val="16"/>
              </w:rPr>
              <w:t xml:space="preserve"> et l’opération de support.</w:t>
            </w:r>
          </w:p>
        </w:tc>
        <w:tc>
          <w:tcPr>
            <w:tcW w:w="1841" w:type="pct"/>
          </w:tcPr>
          <w:p w14:paraId="4CF5F389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Permet d'isoler les cas sans trace de déblocage ou avec montant tire </w:t>
            </w:r>
            <w:r w:rsidR="00B811AB" w:rsidRPr="0072514B">
              <w:rPr>
                <w:rFonts w:ascii="Century Gothic" w:hAnsi="Century Gothic"/>
                <w:sz w:val="16"/>
              </w:rPr>
              <w:t>incohérent</w:t>
            </w:r>
            <w:r w:rsidRPr="0072514B">
              <w:rPr>
                <w:rFonts w:ascii="Century Gothic" w:hAnsi="Century Gothic"/>
                <w:sz w:val="16"/>
              </w:rPr>
              <w:t>.</w:t>
            </w:r>
          </w:p>
        </w:tc>
      </w:tr>
      <w:tr w:rsidR="00391125" w:rsidRPr="0072514B" w14:paraId="1A521DAE" w14:textId="77777777" w:rsidTr="00FB3137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37922CD7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75</w:t>
            </w:r>
          </w:p>
        </w:tc>
        <w:tc>
          <w:tcPr>
            <w:tcW w:w="1114" w:type="pct"/>
          </w:tcPr>
          <w:p w14:paraId="7DCEF4FD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Crédits de groupe avec nombre de bénéficiaires hors norme</w:t>
            </w:r>
          </w:p>
        </w:tc>
        <w:tc>
          <w:tcPr>
            <w:tcW w:w="1841" w:type="pct"/>
          </w:tcPr>
          <w:p w14:paraId="079999A8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Identifier les dossiers collectifs dont le nombre de bénéficiaires semble </w:t>
            </w:r>
            <w:r w:rsidR="00B811AB" w:rsidRPr="0072514B">
              <w:rPr>
                <w:rFonts w:ascii="Century Gothic" w:hAnsi="Century Gothic"/>
                <w:sz w:val="16"/>
              </w:rPr>
              <w:t>incohérent</w:t>
            </w:r>
            <w:r w:rsidRPr="0072514B">
              <w:rPr>
                <w:rFonts w:ascii="Century Gothic" w:hAnsi="Century Gothic"/>
                <w:sz w:val="16"/>
              </w:rPr>
              <w:t>.</w:t>
            </w:r>
          </w:p>
        </w:tc>
        <w:tc>
          <w:tcPr>
            <w:tcW w:w="1841" w:type="pct"/>
          </w:tcPr>
          <w:p w14:paraId="2AA86C5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Le manuel Likelemba recommande une taille de groupe </w:t>
            </w:r>
            <w:r w:rsidR="00B811AB" w:rsidRPr="0072514B">
              <w:rPr>
                <w:rFonts w:ascii="Century Gothic" w:hAnsi="Century Gothic"/>
                <w:sz w:val="16"/>
              </w:rPr>
              <w:t>maitrisée</w:t>
            </w:r>
            <w:r w:rsidRPr="0072514B">
              <w:rPr>
                <w:rFonts w:ascii="Century Gothic" w:hAnsi="Century Gothic"/>
                <w:sz w:val="16"/>
              </w:rPr>
              <w:t xml:space="preserve">, </w:t>
            </w:r>
            <w:r w:rsidR="00B811AB" w:rsidRPr="0072514B">
              <w:rPr>
                <w:rFonts w:ascii="Century Gothic" w:hAnsi="Century Gothic"/>
                <w:sz w:val="16"/>
              </w:rPr>
              <w:t>généralement</w:t>
            </w:r>
            <w:r w:rsidRPr="0072514B">
              <w:rPr>
                <w:rFonts w:ascii="Century Gothic" w:hAnsi="Century Gothic"/>
                <w:sz w:val="16"/>
              </w:rPr>
              <w:t xml:space="preserve"> entre 5 et 10 membres.</w:t>
            </w:r>
          </w:p>
        </w:tc>
      </w:tr>
      <w:tr w:rsidR="00391125" w:rsidRPr="0072514B" w14:paraId="32668F19" w14:textId="77777777" w:rsidTr="00FB3137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5B495348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76</w:t>
            </w:r>
          </w:p>
        </w:tc>
        <w:tc>
          <w:tcPr>
            <w:tcW w:w="1114" w:type="pct"/>
          </w:tcPr>
          <w:p w14:paraId="270CDE67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Nombre de prêts actifs au-delà de la limite du produit</w:t>
            </w:r>
          </w:p>
        </w:tc>
        <w:tc>
          <w:tcPr>
            <w:tcW w:w="1841" w:type="pct"/>
          </w:tcPr>
          <w:p w14:paraId="33BCE8D0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Comparer le nombre de prêts actifs d’un client à la limite paramétrée sur le produit.</w:t>
            </w:r>
          </w:p>
        </w:tc>
        <w:tc>
          <w:tcPr>
            <w:tcW w:w="1841" w:type="pct"/>
          </w:tcPr>
          <w:p w14:paraId="713C53C5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Aide à détecter les situations de cumul à relire avant nouvel octroi.</w:t>
            </w:r>
          </w:p>
        </w:tc>
      </w:tr>
      <w:tr w:rsidR="00391125" w:rsidRPr="0072514B" w14:paraId="68A1EBCD" w14:textId="77777777" w:rsidTr="00FB3137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238C8687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lastRenderedPageBreak/>
              <w:t>77</w:t>
            </w:r>
          </w:p>
        </w:tc>
        <w:tc>
          <w:tcPr>
            <w:tcW w:w="1114" w:type="pct"/>
          </w:tcPr>
          <w:p w14:paraId="6111B7B7" w14:textId="77777777" w:rsidR="00391125" w:rsidRPr="0072514B" w:rsidRDefault="00B811AB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Mainlevée</w:t>
            </w:r>
            <w:r w:rsidR="00B25A6C" w:rsidRPr="0072514B">
              <w:rPr>
                <w:rFonts w:ascii="Century Gothic" w:hAnsi="Century Gothic"/>
                <w:sz w:val="16"/>
              </w:rPr>
              <w:t xml:space="preserve"> ou retrait de garantie avant solde du prêt</w:t>
            </w:r>
          </w:p>
        </w:tc>
        <w:tc>
          <w:tcPr>
            <w:tcW w:w="1841" w:type="pct"/>
          </w:tcPr>
          <w:p w14:paraId="7FC1DD0A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Vérifier qu’une garantie n’a pas </w:t>
            </w:r>
            <w:r w:rsidR="00B811AB" w:rsidRPr="0072514B">
              <w:rPr>
                <w:rFonts w:ascii="Century Gothic" w:hAnsi="Century Gothic"/>
                <w:sz w:val="16"/>
              </w:rPr>
              <w:t>été</w:t>
            </w:r>
            <w:r w:rsidRPr="0072514B">
              <w:rPr>
                <w:rFonts w:ascii="Century Gothic" w:hAnsi="Century Gothic"/>
                <w:sz w:val="16"/>
              </w:rPr>
              <w:t xml:space="preserve"> </w:t>
            </w:r>
            <w:r w:rsidR="00B811AB" w:rsidRPr="0072514B">
              <w:rPr>
                <w:rFonts w:ascii="Century Gothic" w:hAnsi="Century Gothic"/>
                <w:sz w:val="16"/>
              </w:rPr>
              <w:t>retirée</w:t>
            </w:r>
            <w:r w:rsidRPr="0072514B">
              <w:rPr>
                <w:rFonts w:ascii="Century Gothic" w:hAnsi="Century Gothic"/>
                <w:sz w:val="16"/>
              </w:rPr>
              <w:t xml:space="preserve"> alors que le prêt reste non soldé.</w:t>
            </w:r>
          </w:p>
        </w:tc>
        <w:tc>
          <w:tcPr>
            <w:tcW w:w="1841" w:type="pct"/>
          </w:tcPr>
          <w:p w14:paraId="4B49C89C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Cible les </w:t>
            </w:r>
            <w:r w:rsidR="00B811AB" w:rsidRPr="0072514B">
              <w:rPr>
                <w:rFonts w:ascii="Century Gothic" w:hAnsi="Century Gothic"/>
                <w:sz w:val="16"/>
              </w:rPr>
              <w:t>mainlevées</w:t>
            </w:r>
            <w:r w:rsidRPr="0072514B">
              <w:rPr>
                <w:rFonts w:ascii="Century Gothic" w:hAnsi="Century Gothic"/>
                <w:sz w:val="16"/>
              </w:rPr>
              <w:t xml:space="preserve"> à relire en </w:t>
            </w:r>
            <w:r w:rsidR="00B811AB" w:rsidRPr="0072514B">
              <w:rPr>
                <w:rFonts w:ascii="Century Gothic" w:hAnsi="Century Gothic"/>
                <w:sz w:val="16"/>
              </w:rPr>
              <w:t>priorité</w:t>
            </w:r>
            <w:r w:rsidRPr="0072514B">
              <w:rPr>
                <w:rFonts w:ascii="Century Gothic" w:hAnsi="Century Gothic"/>
                <w:sz w:val="16"/>
              </w:rPr>
              <w:t xml:space="preserve"> car elles peuvent fragiliser le recouvrement.</w:t>
            </w:r>
          </w:p>
        </w:tc>
      </w:tr>
      <w:tr w:rsidR="00391125" w:rsidRPr="0072514B" w14:paraId="672544AE" w14:textId="77777777" w:rsidTr="00FB3137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26DFFD3A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78</w:t>
            </w:r>
          </w:p>
        </w:tc>
        <w:tc>
          <w:tcPr>
            <w:tcW w:w="1114" w:type="pct"/>
          </w:tcPr>
          <w:p w14:paraId="7A02672B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Demandes de rééchelonnement sans validation exploitable</w:t>
            </w:r>
          </w:p>
        </w:tc>
        <w:tc>
          <w:tcPr>
            <w:tcW w:w="1841" w:type="pct"/>
          </w:tcPr>
          <w:p w14:paraId="493CD94D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Contrôler les demandes de rééchelonnement non validées ou rattachées à un prêt déjà sorti du portefeuille normal.</w:t>
            </w:r>
          </w:p>
        </w:tc>
        <w:tc>
          <w:tcPr>
            <w:tcW w:w="1841" w:type="pct"/>
          </w:tcPr>
          <w:p w14:paraId="3E694267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Permet d'isoler les rééchelonnements à régulariser ou à justifier.</w:t>
            </w:r>
          </w:p>
        </w:tc>
      </w:tr>
      <w:tr w:rsidR="00391125" w:rsidRPr="0072514B" w14:paraId="10B58834" w14:textId="77777777" w:rsidTr="00FB3137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1BC8AA32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79</w:t>
            </w:r>
          </w:p>
        </w:tc>
        <w:tc>
          <w:tcPr>
            <w:tcW w:w="1114" w:type="pct"/>
          </w:tcPr>
          <w:p w14:paraId="7C35F19D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Prêts </w:t>
            </w:r>
            <w:r w:rsidR="00C01126" w:rsidRPr="0072514B">
              <w:rPr>
                <w:rFonts w:ascii="Century Gothic" w:hAnsi="Century Gothic"/>
                <w:sz w:val="16"/>
              </w:rPr>
              <w:t>marques rééchelonnées</w:t>
            </w:r>
            <w:r w:rsidRPr="0072514B">
              <w:rPr>
                <w:rFonts w:ascii="Century Gothic" w:hAnsi="Century Gothic"/>
                <w:sz w:val="16"/>
              </w:rPr>
              <w:t xml:space="preserve"> sans demande formelle</w:t>
            </w:r>
          </w:p>
        </w:tc>
        <w:tc>
          <w:tcPr>
            <w:tcW w:w="1841" w:type="pct"/>
          </w:tcPr>
          <w:p w14:paraId="3C830FBE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Vérifier qu’un prêt marque comme rééchelonné dispose d’une demande correspondante.</w:t>
            </w:r>
          </w:p>
        </w:tc>
        <w:tc>
          <w:tcPr>
            <w:tcW w:w="1841" w:type="pct"/>
          </w:tcPr>
          <w:p w14:paraId="0AFFC1AC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Très utile quand le traitement </w:t>
            </w:r>
            <w:r w:rsidR="00C01126" w:rsidRPr="0072514B">
              <w:rPr>
                <w:rFonts w:ascii="Century Gothic" w:hAnsi="Century Gothic"/>
                <w:sz w:val="16"/>
              </w:rPr>
              <w:t>système</w:t>
            </w:r>
            <w:r w:rsidRPr="0072514B">
              <w:rPr>
                <w:rFonts w:ascii="Century Gothic" w:hAnsi="Century Gothic"/>
                <w:sz w:val="16"/>
              </w:rPr>
              <w:t xml:space="preserve"> a </w:t>
            </w:r>
            <w:r w:rsidR="00C01126" w:rsidRPr="0072514B">
              <w:rPr>
                <w:rFonts w:ascii="Century Gothic" w:hAnsi="Century Gothic"/>
                <w:sz w:val="16"/>
              </w:rPr>
              <w:t>été</w:t>
            </w:r>
            <w:r w:rsidRPr="0072514B">
              <w:rPr>
                <w:rFonts w:ascii="Century Gothic" w:hAnsi="Century Gothic"/>
                <w:sz w:val="16"/>
              </w:rPr>
              <w:t xml:space="preserve"> fait avant ou sans formalisation du dossier.</w:t>
            </w:r>
          </w:p>
        </w:tc>
      </w:tr>
      <w:tr w:rsidR="00391125" w:rsidRPr="0072514B" w14:paraId="0AD7E255" w14:textId="77777777" w:rsidTr="00FB3137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1F36E685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80</w:t>
            </w:r>
          </w:p>
        </w:tc>
        <w:tc>
          <w:tcPr>
            <w:tcW w:w="1114" w:type="pct"/>
          </w:tcPr>
          <w:p w14:paraId="18363590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Prêts en contentieux avec incohérences de transfert ou de montant</w:t>
            </w:r>
          </w:p>
        </w:tc>
        <w:tc>
          <w:tcPr>
            <w:tcW w:w="1841" w:type="pct"/>
          </w:tcPr>
          <w:p w14:paraId="72B1A675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Relire les passages en contentieux dont la date ou le montant semble </w:t>
            </w:r>
            <w:r w:rsidR="0074132E" w:rsidRPr="0072514B">
              <w:rPr>
                <w:rFonts w:ascii="Century Gothic" w:hAnsi="Century Gothic"/>
                <w:sz w:val="16"/>
              </w:rPr>
              <w:t>incohérent</w:t>
            </w:r>
            <w:r w:rsidRPr="0072514B">
              <w:rPr>
                <w:rFonts w:ascii="Century Gothic" w:hAnsi="Century Gothic"/>
                <w:sz w:val="16"/>
              </w:rPr>
              <w:t>.</w:t>
            </w:r>
          </w:p>
        </w:tc>
        <w:tc>
          <w:tcPr>
            <w:tcW w:w="1841" w:type="pct"/>
          </w:tcPr>
          <w:p w14:paraId="244BCBD8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Aide à fiabiliser le suivi des dossiers sensibles et la piste d'audit.</w:t>
            </w:r>
          </w:p>
        </w:tc>
      </w:tr>
      <w:tr w:rsidR="00391125" w:rsidRPr="0072514B" w14:paraId="77C2BF56" w14:textId="77777777" w:rsidTr="00FB3137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17128796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81</w:t>
            </w:r>
          </w:p>
        </w:tc>
        <w:tc>
          <w:tcPr>
            <w:tcW w:w="1114" w:type="pct"/>
          </w:tcPr>
          <w:p w14:paraId="3CE83B84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Validations de dossier </w:t>
            </w:r>
            <w:r w:rsidR="009F7AE3" w:rsidRPr="0072514B">
              <w:rPr>
                <w:rFonts w:ascii="Century Gothic" w:hAnsi="Century Gothic"/>
                <w:sz w:val="16"/>
              </w:rPr>
              <w:t>incohérentes</w:t>
            </w:r>
            <w:r w:rsidRPr="0072514B">
              <w:rPr>
                <w:rFonts w:ascii="Century Gothic" w:hAnsi="Century Gothic"/>
                <w:sz w:val="16"/>
              </w:rPr>
              <w:t xml:space="preserve"> avec le dossier ou le prêt</w:t>
            </w:r>
          </w:p>
        </w:tc>
        <w:tc>
          <w:tcPr>
            <w:tcW w:w="1841" w:type="pct"/>
          </w:tcPr>
          <w:p w14:paraId="34400F5F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Comparer les montants, </w:t>
            </w:r>
            <w:r w:rsidR="009F7AE3" w:rsidRPr="0072514B">
              <w:rPr>
                <w:rFonts w:ascii="Century Gothic" w:hAnsi="Century Gothic"/>
                <w:sz w:val="16"/>
              </w:rPr>
              <w:t>échéances</w:t>
            </w:r>
            <w:r w:rsidRPr="0072514B">
              <w:rPr>
                <w:rFonts w:ascii="Century Gothic" w:hAnsi="Century Gothic"/>
                <w:sz w:val="16"/>
              </w:rPr>
              <w:t xml:space="preserve"> et périodes validés avec les valeurs du dossier et du prêt.</w:t>
            </w:r>
          </w:p>
        </w:tc>
        <w:tc>
          <w:tcPr>
            <w:tcW w:w="1841" w:type="pct"/>
          </w:tcPr>
          <w:p w14:paraId="189A6FE1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Cible les validations à relire avant revue d'octroi ou mission d'audit.</w:t>
            </w:r>
          </w:p>
        </w:tc>
      </w:tr>
      <w:tr w:rsidR="00391125" w:rsidRPr="0072514B" w14:paraId="4202ADB9" w14:textId="77777777" w:rsidTr="00FB3137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053333B7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82</w:t>
            </w:r>
          </w:p>
        </w:tc>
        <w:tc>
          <w:tcPr>
            <w:tcW w:w="1114" w:type="pct"/>
          </w:tcPr>
          <w:p w14:paraId="1853B57F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Types de garantie utilisés mais non paramètres pour l’agence</w:t>
            </w:r>
          </w:p>
        </w:tc>
        <w:tc>
          <w:tcPr>
            <w:tcW w:w="1841" w:type="pct"/>
          </w:tcPr>
          <w:p w14:paraId="5E667D96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Vérifier que le type de garantie utilisé est bien autorisé pour le point de service et la devise concernes.</w:t>
            </w:r>
          </w:p>
        </w:tc>
        <w:tc>
          <w:tcPr>
            <w:tcW w:w="1841" w:type="pct"/>
          </w:tcPr>
          <w:p w14:paraId="1CECC307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Pratique pour la revue du paramètre produit et la régularisation des garanties hors cadre.</w:t>
            </w:r>
          </w:p>
        </w:tc>
      </w:tr>
      <w:tr w:rsidR="00391125" w:rsidRPr="0072514B" w14:paraId="7C18A148" w14:textId="77777777" w:rsidTr="00FB3137">
        <w:trPr>
          <w:cantSplit/>
          <w:jc w:val="center"/>
        </w:trPr>
        <w:tc>
          <w:tcPr>
            <w:tcW w:w="205" w:type="pct"/>
            <w:shd w:val="clear" w:color="auto" w:fill="D9EAF7"/>
          </w:tcPr>
          <w:p w14:paraId="7BCF654D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83</w:t>
            </w:r>
          </w:p>
        </w:tc>
        <w:tc>
          <w:tcPr>
            <w:tcW w:w="1114" w:type="pct"/>
          </w:tcPr>
          <w:p w14:paraId="5E6E25AB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Cycles de prêt sans </w:t>
            </w:r>
            <w:r w:rsidR="00EC0149" w:rsidRPr="0072514B">
              <w:rPr>
                <w:rFonts w:ascii="Century Gothic" w:hAnsi="Century Gothic"/>
                <w:sz w:val="16"/>
              </w:rPr>
              <w:t>échéancier</w:t>
            </w:r>
            <w:r w:rsidRPr="0072514B">
              <w:rPr>
                <w:rFonts w:ascii="Century Gothic" w:hAnsi="Century Gothic"/>
                <w:sz w:val="16"/>
              </w:rPr>
              <w:t xml:space="preserve"> TABAMOR exploitable</w:t>
            </w:r>
          </w:p>
        </w:tc>
        <w:tc>
          <w:tcPr>
            <w:tcW w:w="1841" w:type="pct"/>
          </w:tcPr>
          <w:p w14:paraId="42A80423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>Vérifier qu’un cycle de prêt dispose bien d’un plan d'amortissement lisible.</w:t>
            </w:r>
          </w:p>
        </w:tc>
        <w:tc>
          <w:tcPr>
            <w:tcW w:w="1841" w:type="pct"/>
          </w:tcPr>
          <w:p w14:paraId="42B38596" w14:textId="77777777" w:rsidR="00391125" w:rsidRPr="0072514B" w:rsidRDefault="00B25A6C">
            <w:pPr>
              <w:rPr>
                <w:rFonts w:ascii="Century Gothic" w:hAnsi="Century Gothic"/>
              </w:rPr>
            </w:pPr>
            <w:r w:rsidRPr="0072514B">
              <w:rPr>
                <w:rFonts w:ascii="Century Gothic" w:hAnsi="Century Gothic"/>
                <w:sz w:val="16"/>
              </w:rPr>
              <w:t xml:space="preserve">Un cycle sans </w:t>
            </w:r>
            <w:r w:rsidR="00F74571" w:rsidRPr="0072514B">
              <w:rPr>
                <w:rFonts w:ascii="Century Gothic" w:hAnsi="Century Gothic"/>
                <w:sz w:val="16"/>
              </w:rPr>
              <w:t>échéancier</w:t>
            </w:r>
            <w:r w:rsidRPr="0072514B">
              <w:rPr>
                <w:rFonts w:ascii="Century Gothic" w:hAnsi="Century Gothic"/>
                <w:sz w:val="16"/>
              </w:rPr>
              <w:t xml:space="preserve"> fiable complique le suivi, le rappel des </w:t>
            </w:r>
            <w:r w:rsidR="00F74571" w:rsidRPr="0072514B">
              <w:rPr>
                <w:rFonts w:ascii="Century Gothic" w:hAnsi="Century Gothic"/>
                <w:sz w:val="16"/>
              </w:rPr>
              <w:t>échéances</w:t>
            </w:r>
            <w:r w:rsidRPr="0072514B">
              <w:rPr>
                <w:rFonts w:ascii="Century Gothic" w:hAnsi="Century Gothic"/>
                <w:sz w:val="16"/>
              </w:rPr>
              <w:t xml:space="preserve"> et la piste d'audit.</w:t>
            </w:r>
          </w:p>
        </w:tc>
      </w:tr>
    </w:tbl>
    <w:p w14:paraId="57F04689" w14:textId="77777777" w:rsidR="00391125" w:rsidRPr="0072514B" w:rsidRDefault="00391125" w:rsidP="001E153D">
      <w:pPr>
        <w:rPr>
          <w:rFonts w:ascii="Century Gothic" w:hAnsi="Century Gothic"/>
        </w:rPr>
      </w:pPr>
    </w:p>
    <w:p w14:paraId="12C8F350" w14:textId="77777777" w:rsidR="005B6FF7" w:rsidRPr="0072514B" w:rsidRDefault="00000000">
      <w:pPr>
        <w:pStyle w:val="Titre2"/>
        <w:spacing w:before="0" w:after="60"/>
      </w:pPr>
      <w:r w:rsidRPr="0072514B">
        <w:t>10. Crédit : impayés, clôture et renouvellement</w:t>
      </w: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538"/>
        <w:gridCol w:w="2920"/>
        <w:gridCol w:w="4826"/>
        <w:gridCol w:w="4824"/>
      </w:tblGrid>
      <w:tr w:rsidR="005B6FF7" w:rsidRPr="0072514B" w14:paraId="66FEFDF2" w14:textId="77777777">
        <w:trPr>
          <w:tblHeader/>
          <w:jc w:val="center"/>
        </w:trPr>
        <w:tc>
          <w:tcPr>
            <w:tcW w:w="205" w:type="pct"/>
            <w:shd w:val="clear" w:color="auto" w:fill="1F4E79"/>
          </w:tcPr>
          <w:p w14:paraId="422B0E2B" w14:textId="77777777" w:rsidR="005B6FF7" w:rsidRPr="0072514B" w:rsidRDefault="00000000">
            <w:r w:rsidRPr="0072514B"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1114" w:type="pct"/>
            <w:shd w:val="clear" w:color="auto" w:fill="1F4E79"/>
          </w:tcPr>
          <w:p w14:paraId="08CB53C0" w14:textId="77777777" w:rsidR="005B6FF7" w:rsidRPr="0072514B" w:rsidRDefault="00000000">
            <w:r w:rsidRPr="0072514B">
              <w:rPr>
                <w:b/>
                <w:color w:val="FFFFFF"/>
                <w:sz w:val="17"/>
              </w:rPr>
              <w:t>Indicateur</w:t>
            </w:r>
          </w:p>
        </w:tc>
        <w:tc>
          <w:tcPr>
            <w:tcW w:w="1841" w:type="pct"/>
            <w:shd w:val="clear" w:color="auto" w:fill="1F4E79"/>
          </w:tcPr>
          <w:p w14:paraId="7B58B534" w14:textId="77777777" w:rsidR="005B6FF7" w:rsidRPr="0072514B" w:rsidRDefault="00000000">
            <w:r w:rsidRPr="0072514B">
              <w:rPr>
                <w:b/>
                <w:color w:val="FFFFFF"/>
                <w:sz w:val="17"/>
              </w:rPr>
              <w:t>Objectif</w:t>
            </w:r>
          </w:p>
        </w:tc>
        <w:tc>
          <w:tcPr>
            <w:tcW w:w="1841" w:type="pct"/>
            <w:shd w:val="clear" w:color="auto" w:fill="1F4E79"/>
          </w:tcPr>
          <w:p w14:paraId="152C7E89" w14:textId="77777777" w:rsidR="005B6FF7" w:rsidRPr="0072514B" w:rsidRDefault="00000000">
            <w:r w:rsidRPr="0072514B">
              <w:rPr>
                <w:b/>
                <w:color w:val="FFFFFF"/>
                <w:sz w:val="17"/>
              </w:rPr>
              <w:t>Commentaire / lecture</w:t>
            </w:r>
          </w:p>
        </w:tc>
      </w:tr>
      <w:tr w:rsidR="005B6FF7" w:rsidRPr="0072514B" w14:paraId="6298E085" w14:textId="77777777">
        <w:trPr>
          <w:jc w:val="center"/>
        </w:trPr>
        <w:tc>
          <w:tcPr>
            <w:tcW w:w="205" w:type="pct"/>
            <w:shd w:val="clear" w:color="auto" w:fill="D9EAF7"/>
          </w:tcPr>
          <w:p w14:paraId="5F61253F" w14:textId="77777777" w:rsidR="005B6FF7" w:rsidRPr="0072514B" w:rsidRDefault="00000000">
            <w:r w:rsidRPr="0072514B">
              <w:rPr>
                <w:sz w:val="16"/>
              </w:rPr>
              <w:t>84</w:t>
            </w:r>
          </w:p>
        </w:tc>
        <w:tc>
          <w:tcPr>
            <w:tcW w:w="1114" w:type="pct"/>
          </w:tcPr>
          <w:p w14:paraId="2CDED727" w14:textId="77777777" w:rsidR="005B6FF7" w:rsidRPr="0072514B" w:rsidRDefault="00000000">
            <w:r w:rsidRPr="0072514B">
              <w:rPr>
                <w:sz w:val="16"/>
              </w:rPr>
              <w:t>Taux d’impayé du portefeuille par tranche de montant et par devise</w:t>
            </w:r>
          </w:p>
        </w:tc>
        <w:tc>
          <w:tcPr>
            <w:tcW w:w="1841" w:type="pct"/>
          </w:tcPr>
          <w:p w14:paraId="7BF0B0E8" w14:textId="77777777" w:rsidR="005B6FF7" w:rsidRPr="0072514B" w:rsidRDefault="00000000">
            <w:r w:rsidRPr="0072514B">
              <w:rPr>
                <w:sz w:val="16"/>
              </w:rPr>
              <w:t>Repérer les tranches de crédit et les devises qui concentrent le plus de cycles échus non clôturés.</w:t>
            </w:r>
          </w:p>
        </w:tc>
        <w:tc>
          <w:tcPr>
            <w:tcW w:w="1841" w:type="pct"/>
          </w:tcPr>
          <w:p w14:paraId="5BBFA7E5" w14:textId="77777777" w:rsidR="005B6FF7" w:rsidRPr="0072514B" w:rsidRDefault="00000000">
            <w:r w:rsidRPr="0072514B">
              <w:rPr>
                <w:sz w:val="16"/>
              </w:rPr>
              <w:t>En l’absence d’un montant impayé direct dans CYCLES_PRET, l’indicateur utilise ici le montant des cycles échus non clôturés comme proxy pragmatique du risque d’impayé.</w:t>
            </w:r>
          </w:p>
        </w:tc>
      </w:tr>
      <w:tr w:rsidR="005B6FF7" w:rsidRPr="0072514B" w14:paraId="7B64914F" w14:textId="77777777">
        <w:trPr>
          <w:jc w:val="center"/>
        </w:trPr>
        <w:tc>
          <w:tcPr>
            <w:tcW w:w="205" w:type="pct"/>
            <w:shd w:val="clear" w:color="auto" w:fill="D9EAF7"/>
          </w:tcPr>
          <w:p w14:paraId="1DEA307A" w14:textId="77777777" w:rsidR="005B6FF7" w:rsidRPr="0072514B" w:rsidRDefault="00000000">
            <w:r w:rsidRPr="0072514B">
              <w:rPr>
                <w:sz w:val="16"/>
              </w:rPr>
              <w:t>85</w:t>
            </w:r>
          </w:p>
        </w:tc>
        <w:tc>
          <w:tcPr>
            <w:tcW w:w="1114" w:type="pct"/>
          </w:tcPr>
          <w:p w14:paraId="3C5269D9" w14:textId="77777777" w:rsidR="005B6FF7" w:rsidRPr="0072514B" w:rsidRDefault="00000000">
            <w:r w:rsidRPr="0072514B">
              <w:rPr>
                <w:sz w:val="16"/>
              </w:rPr>
              <w:t>Clients qui terminent leur crédit par mois ou sur la période</w:t>
            </w:r>
          </w:p>
        </w:tc>
        <w:tc>
          <w:tcPr>
            <w:tcW w:w="1841" w:type="pct"/>
          </w:tcPr>
          <w:p w14:paraId="40B38625" w14:textId="77777777" w:rsidR="005B6FF7" w:rsidRPr="0072514B" w:rsidRDefault="00000000">
            <w:r w:rsidRPr="0072514B">
              <w:rPr>
                <w:sz w:val="16"/>
              </w:rPr>
              <w:t>Suivre la fidélisation et les clôtures effectives de prêts sur une période donnée.</w:t>
            </w:r>
          </w:p>
        </w:tc>
        <w:tc>
          <w:tcPr>
            <w:tcW w:w="1841" w:type="pct"/>
          </w:tcPr>
          <w:p w14:paraId="422E0AE3" w14:textId="77777777" w:rsidR="005B6FF7" w:rsidRPr="0072514B" w:rsidRDefault="00000000">
            <w:r w:rsidRPr="0072514B">
              <w:rPr>
                <w:sz w:val="16"/>
              </w:rPr>
              <w:t>Un prêt terminé est ici un prêt avec DATE_SOLDE renseignée. Le résultat aide à suivre les clients qui bouclent un cycle et peuvent revenir dans le pipeline, avec une lecture mensuelle, par devise et par agence.</w:t>
            </w:r>
          </w:p>
        </w:tc>
      </w:tr>
      <w:tr w:rsidR="005B6FF7" w:rsidRPr="0072514B" w14:paraId="209DA92F" w14:textId="77777777">
        <w:trPr>
          <w:jc w:val="center"/>
        </w:trPr>
        <w:tc>
          <w:tcPr>
            <w:tcW w:w="205" w:type="pct"/>
            <w:shd w:val="clear" w:color="auto" w:fill="D9EAF7"/>
          </w:tcPr>
          <w:p w14:paraId="5C2784A6" w14:textId="77777777" w:rsidR="005B6FF7" w:rsidRPr="0072514B" w:rsidRDefault="00000000">
            <w:r w:rsidRPr="0072514B">
              <w:rPr>
                <w:sz w:val="16"/>
              </w:rPr>
              <w:t>86</w:t>
            </w:r>
          </w:p>
        </w:tc>
        <w:tc>
          <w:tcPr>
            <w:tcW w:w="1114" w:type="pct"/>
          </w:tcPr>
          <w:p w14:paraId="7318C55E" w14:textId="77777777" w:rsidR="005B6FF7" w:rsidRPr="0072514B" w:rsidRDefault="00000000">
            <w:r w:rsidRPr="0072514B">
              <w:rPr>
                <w:sz w:val="16"/>
              </w:rPr>
              <w:t>Synthèse de renouvellement après clôture de crédit</w:t>
            </w:r>
          </w:p>
        </w:tc>
        <w:tc>
          <w:tcPr>
            <w:tcW w:w="1841" w:type="pct"/>
          </w:tcPr>
          <w:p w14:paraId="1858AB06" w14:textId="77777777" w:rsidR="005B6FF7" w:rsidRPr="0072514B" w:rsidRDefault="00000000">
            <w:r w:rsidRPr="0072514B">
              <w:rPr>
                <w:sz w:val="16"/>
              </w:rPr>
              <w:t>Mesurer, par mois, devise et agence, la part des clients soldés qui reviennent ensuite sur un nouveau prêt.</w:t>
            </w:r>
          </w:p>
        </w:tc>
        <w:tc>
          <w:tcPr>
            <w:tcW w:w="1841" w:type="pct"/>
          </w:tcPr>
          <w:p w14:paraId="1CA5D308" w14:textId="77777777" w:rsidR="005B6FF7" w:rsidRPr="0072514B" w:rsidRDefault="00000000">
            <w:r w:rsidRPr="0072514B">
              <w:rPr>
                <w:sz w:val="16"/>
              </w:rPr>
              <w:t>Un renouvellement est estimé lorsqu’un client ayant soldé un prêt sur la période reçoit un nouveau prêt avec une date de décaissement ou d’effet postérieure à la date de solde.</w:t>
            </w:r>
          </w:p>
        </w:tc>
      </w:tr>
      <w:tr w:rsidR="005B6FF7" w:rsidRPr="0072514B" w14:paraId="29DDA6F8" w14:textId="77777777">
        <w:trPr>
          <w:jc w:val="center"/>
        </w:trPr>
        <w:tc>
          <w:tcPr>
            <w:tcW w:w="205" w:type="pct"/>
            <w:shd w:val="clear" w:color="auto" w:fill="D9EAF7"/>
          </w:tcPr>
          <w:p w14:paraId="5B702A4B" w14:textId="77777777" w:rsidR="005B6FF7" w:rsidRPr="0072514B" w:rsidRDefault="00000000">
            <w:r w:rsidRPr="0072514B">
              <w:rPr>
                <w:sz w:val="16"/>
              </w:rPr>
              <w:t>87</w:t>
            </w:r>
          </w:p>
        </w:tc>
        <w:tc>
          <w:tcPr>
            <w:tcW w:w="1114" w:type="pct"/>
          </w:tcPr>
          <w:p w14:paraId="79135E41" w14:textId="77777777" w:rsidR="005B6FF7" w:rsidRPr="0072514B" w:rsidRDefault="00000000">
            <w:r w:rsidRPr="0072514B">
              <w:rPr>
                <w:sz w:val="16"/>
              </w:rPr>
              <w:t>Délai de renouvellement après clôture</w:t>
            </w:r>
          </w:p>
        </w:tc>
        <w:tc>
          <w:tcPr>
            <w:tcW w:w="1841" w:type="pct"/>
          </w:tcPr>
          <w:p w14:paraId="7713C9BD" w14:textId="77777777" w:rsidR="005B6FF7" w:rsidRPr="0072514B" w:rsidRDefault="00000000">
            <w:r w:rsidRPr="0072514B">
              <w:rPr>
                <w:sz w:val="16"/>
              </w:rPr>
              <w:t>Qualifier la vitesse de retour des clients après solde afin d’identifier les cycles rapidement reconduits, les retours plus lents et les clients qui ne reviennent pas encore.</w:t>
            </w:r>
          </w:p>
        </w:tc>
        <w:tc>
          <w:tcPr>
            <w:tcW w:w="1841" w:type="pct"/>
          </w:tcPr>
          <w:p w14:paraId="4D2F47AD" w14:textId="77777777" w:rsidR="005B6FF7" w:rsidRPr="0072514B" w:rsidRDefault="00000000">
            <w:r w:rsidRPr="0072514B">
              <w:rPr>
                <w:sz w:val="16"/>
              </w:rPr>
              <w:t>Un renouvellement rapide correspond ici à un nouveau prêt dans les 30 jours, moyen entre 31 et 90 jours, tardif au-delà de 90 jours. Sans nouveau prêt après solde, le dossier reste classé en attente de renouvellement.</w:t>
            </w:r>
          </w:p>
        </w:tc>
      </w:tr>
      <w:tr w:rsidR="005B6FF7" w:rsidRPr="0072514B" w14:paraId="5D8B4E5F" w14:textId="77777777">
        <w:trPr>
          <w:jc w:val="center"/>
        </w:trPr>
        <w:tc>
          <w:tcPr>
            <w:tcW w:w="205" w:type="pct"/>
            <w:shd w:val="clear" w:color="auto" w:fill="D9EAF7"/>
          </w:tcPr>
          <w:p w14:paraId="375B39E2" w14:textId="77777777" w:rsidR="005B6FF7" w:rsidRPr="0072514B" w:rsidRDefault="00000000">
            <w:r w:rsidRPr="0072514B">
              <w:rPr>
                <w:sz w:val="16"/>
              </w:rPr>
              <w:t>88</w:t>
            </w:r>
          </w:p>
        </w:tc>
        <w:tc>
          <w:tcPr>
            <w:tcW w:w="1114" w:type="pct"/>
          </w:tcPr>
          <w:p w14:paraId="41C85903" w14:textId="77777777" w:rsidR="005B6FF7" w:rsidRPr="0072514B" w:rsidRDefault="00000000">
            <w:r w:rsidRPr="0072514B">
              <w:rPr>
                <w:sz w:val="16"/>
              </w:rPr>
              <w:t>Renouvellement dans la même agence ou avec changement d’agence</w:t>
            </w:r>
          </w:p>
        </w:tc>
        <w:tc>
          <w:tcPr>
            <w:tcW w:w="1841" w:type="pct"/>
          </w:tcPr>
          <w:p w14:paraId="3E0B8DA0" w14:textId="77777777" w:rsidR="005B6FF7" w:rsidRPr="0072514B" w:rsidRDefault="00000000">
            <w:r w:rsidRPr="0072514B">
              <w:rPr>
                <w:sz w:val="16"/>
              </w:rPr>
              <w:t>Identifier si les clients renouvelés restent dans leur agence d’origine ou basculent vers une autre agence.</w:t>
            </w:r>
          </w:p>
        </w:tc>
        <w:tc>
          <w:tcPr>
            <w:tcW w:w="1841" w:type="pct"/>
          </w:tcPr>
          <w:p w14:paraId="5C44FC2E" w14:textId="77777777" w:rsidR="005B6FF7" w:rsidRPr="0072514B" w:rsidRDefault="00000000">
            <w:r w:rsidRPr="0072514B">
              <w:rPr>
                <w:sz w:val="16"/>
              </w:rPr>
              <w:t>La comparaison se fait entre l’agence du prêt soldé et l’agence du premier prêt repris après solde. Sans nouveau prêt, le client reste classé en attente de renouvellement.</w:t>
            </w:r>
          </w:p>
        </w:tc>
      </w:tr>
      <w:tr w:rsidR="005B6FF7" w:rsidRPr="0072514B" w14:paraId="2747B9A4" w14:textId="77777777">
        <w:trPr>
          <w:jc w:val="center"/>
        </w:trPr>
        <w:tc>
          <w:tcPr>
            <w:tcW w:w="205" w:type="pct"/>
            <w:shd w:val="clear" w:color="auto" w:fill="D9EAF7"/>
          </w:tcPr>
          <w:p w14:paraId="444A6E4D" w14:textId="77777777" w:rsidR="005B6FF7" w:rsidRPr="0072514B" w:rsidRDefault="00000000">
            <w:r w:rsidRPr="0072514B">
              <w:rPr>
                <w:sz w:val="16"/>
              </w:rPr>
              <w:t>89</w:t>
            </w:r>
          </w:p>
        </w:tc>
        <w:tc>
          <w:tcPr>
            <w:tcW w:w="1114" w:type="pct"/>
          </w:tcPr>
          <w:p w14:paraId="76764700" w14:textId="77777777" w:rsidR="005B6FF7" w:rsidRPr="0072514B" w:rsidRDefault="00000000">
            <w:r w:rsidRPr="0072514B">
              <w:rPr>
                <w:sz w:val="16"/>
              </w:rPr>
              <w:t>Évolution du montant au renouvellement</w:t>
            </w:r>
          </w:p>
        </w:tc>
        <w:tc>
          <w:tcPr>
            <w:tcW w:w="1841" w:type="pct"/>
          </w:tcPr>
          <w:p w14:paraId="328ED2B2" w14:textId="77777777" w:rsidR="005B6FF7" w:rsidRPr="0072514B" w:rsidRDefault="00000000">
            <w:r w:rsidRPr="0072514B">
              <w:rPr>
                <w:sz w:val="16"/>
              </w:rPr>
              <w:t>Mesurer si le premier prêt repris après solde est d’un montant plus élevé, plus faible ou stable par rapport au prêt clôturé.</w:t>
            </w:r>
          </w:p>
        </w:tc>
        <w:tc>
          <w:tcPr>
            <w:tcW w:w="1841" w:type="pct"/>
          </w:tcPr>
          <w:p w14:paraId="2C35CEB5" w14:textId="77777777" w:rsidR="005B6FF7" w:rsidRPr="0072514B" w:rsidRDefault="00000000">
            <w:r w:rsidRPr="0072514B">
              <w:rPr>
                <w:sz w:val="16"/>
              </w:rPr>
              <w:t>La comparaison se fait entre le montant du prêt soldé et celui du premier nouveau prêt du même client. Sans nouveau prêt, le dossier reste en attente de renouvellement.</w:t>
            </w:r>
          </w:p>
        </w:tc>
      </w:tr>
    </w:tbl>
    <w:p w14:paraId="05A991C9" w14:textId="77777777" w:rsidR="005B6FF7" w:rsidRDefault="005B6FF7"/>
    <w:sectPr w:rsidR="005B6FF7" w:rsidSect="001A4CF7">
      <w:footerReference w:type="default" r:id="rId8"/>
      <w:pgSz w:w="15840" w:h="12240" w:orient="landscape"/>
      <w:pgMar w:top="1361" w:right="1361" w:bottom="1361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2E93F" w14:textId="77777777" w:rsidR="00556160" w:rsidRPr="0072514B" w:rsidRDefault="00556160">
      <w:pPr>
        <w:spacing w:after="0" w:line="240" w:lineRule="auto"/>
      </w:pPr>
      <w:r w:rsidRPr="0072514B">
        <w:separator/>
      </w:r>
    </w:p>
  </w:endnote>
  <w:endnote w:type="continuationSeparator" w:id="0">
    <w:p w14:paraId="09532F5A" w14:textId="77777777" w:rsidR="00556160" w:rsidRPr="0072514B" w:rsidRDefault="00556160">
      <w:pPr>
        <w:spacing w:after="0" w:line="240" w:lineRule="auto"/>
      </w:pPr>
      <w:r w:rsidRPr="0072514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FF74E" w14:textId="77777777" w:rsidR="00441EDD" w:rsidRPr="0072514B" w:rsidRDefault="00441EDD" w:rsidP="00441EDD">
    <w:pPr>
      <w:pStyle w:val="Pieddepage"/>
      <w:jc w:val="center"/>
    </w:pPr>
    <w:r w:rsidRPr="0072514B">
      <w:rPr>
        <w:i/>
        <w:sz w:val="16"/>
      </w:rPr>
      <w:t>Document de travail - Contrôle interne / Perfect Vision</w:t>
    </w:r>
  </w:p>
  <w:sdt>
    <w:sdtPr>
      <w:id w:val="1142236266"/>
      <w:docPartObj>
        <w:docPartGallery w:val="Page Numbers (Bottom of Page)"/>
        <w:docPartUnique/>
      </w:docPartObj>
    </w:sdtPr>
    <w:sdtContent>
      <w:p w14:paraId="548F597B" w14:textId="77777777" w:rsidR="00441EDD" w:rsidRPr="0072514B" w:rsidRDefault="00441EDD">
        <w:pPr>
          <w:pStyle w:val="Pieddepage"/>
          <w:jc w:val="right"/>
        </w:pPr>
        <w:r w:rsidRPr="0072514B">
          <w:fldChar w:fldCharType="begin"/>
        </w:r>
        <w:r w:rsidRPr="0072514B">
          <w:instrText>PAGE   \* MERGEFORMAT</w:instrText>
        </w:r>
        <w:r w:rsidRPr="0072514B">
          <w:fldChar w:fldCharType="separate"/>
        </w:r>
        <w:r w:rsidRPr="0072514B">
          <w:t>2</w:t>
        </w:r>
        <w:r w:rsidRPr="0072514B">
          <w:fldChar w:fldCharType="end"/>
        </w:r>
      </w:p>
    </w:sdtContent>
  </w:sdt>
  <w:p w14:paraId="1A689DFA" w14:textId="77777777" w:rsidR="00391125" w:rsidRPr="0072514B" w:rsidRDefault="00391125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2B9FD" w14:textId="77777777" w:rsidR="00556160" w:rsidRPr="0072514B" w:rsidRDefault="00556160">
      <w:pPr>
        <w:spacing w:after="0" w:line="240" w:lineRule="auto"/>
      </w:pPr>
      <w:r w:rsidRPr="0072514B">
        <w:separator/>
      </w:r>
    </w:p>
  </w:footnote>
  <w:footnote w:type="continuationSeparator" w:id="0">
    <w:p w14:paraId="603AE564" w14:textId="77777777" w:rsidR="00556160" w:rsidRPr="0072514B" w:rsidRDefault="00556160">
      <w:pPr>
        <w:spacing w:after="0" w:line="240" w:lineRule="auto"/>
      </w:pPr>
      <w:r w:rsidRPr="0072514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FD3029"/>
    <w:multiLevelType w:val="hybridMultilevel"/>
    <w:tmpl w:val="89DE98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148334">
    <w:abstractNumId w:val="8"/>
  </w:num>
  <w:num w:numId="2" w16cid:durableId="2110151310">
    <w:abstractNumId w:val="6"/>
  </w:num>
  <w:num w:numId="3" w16cid:durableId="1508330867">
    <w:abstractNumId w:val="5"/>
  </w:num>
  <w:num w:numId="4" w16cid:durableId="784887641">
    <w:abstractNumId w:val="4"/>
  </w:num>
  <w:num w:numId="5" w16cid:durableId="2109888846">
    <w:abstractNumId w:val="7"/>
  </w:num>
  <w:num w:numId="6" w16cid:durableId="516310406">
    <w:abstractNumId w:val="3"/>
  </w:num>
  <w:num w:numId="7" w16cid:durableId="275218079">
    <w:abstractNumId w:val="2"/>
  </w:num>
  <w:num w:numId="8" w16cid:durableId="1995642673">
    <w:abstractNumId w:val="1"/>
  </w:num>
  <w:num w:numId="9" w16cid:durableId="1232809344">
    <w:abstractNumId w:val="0"/>
  </w:num>
  <w:num w:numId="10" w16cid:durableId="972180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29B"/>
    <w:rsid w:val="00012E3B"/>
    <w:rsid w:val="00034616"/>
    <w:rsid w:val="000434E3"/>
    <w:rsid w:val="00045CEB"/>
    <w:rsid w:val="000567AF"/>
    <w:rsid w:val="0006063C"/>
    <w:rsid w:val="000864B0"/>
    <w:rsid w:val="000C0B7F"/>
    <w:rsid w:val="000D5457"/>
    <w:rsid w:val="0013730A"/>
    <w:rsid w:val="0015074B"/>
    <w:rsid w:val="00184C87"/>
    <w:rsid w:val="001A4CF7"/>
    <w:rsid w:val="001B3FB9"/>
    <w:rsid w:val="001D5546"/>
    <w:rsid w:val="001E153D"/>
    <w:rsid w:val="002272D0"/>
    <w:rsid w:val="00260598"/>
    <w:rsid w:val="00295B58"/>
    <w:rsid w:val="0029639D"/>
    <w:rsid w:val="002D2CE0"/>
    <w:rsid w:val="002E7B7C"/>
    <w:rsid w:val="003126DC"/>
    <w:rsid w:val="003226A0"/>
    <w:rsid w:val="00326F90"/>
    <w:rsid w:val="00335A3A"/>
    <w:rsid w:val="00335FD0"/>
    <w:rsid w:val="00344BFA"/>
    <w:rsid w:val="00391125"/>
    <w:rsid w:val="003E21DF"/>
    <w:rsid w:val="00412448"/>
    <w:rsid w:val="00441EDD"/>
    <w:rsid w:val="004979E8"/>
    <w:rsid w:val="004D21BA"/>
    <w:rsid w:val="00500881"/>
    <w:rsid w:val="00556160"/>
    <w:rsid w:val="00564615"/>
    <w:rsid w:val="005869EE"/>
    <w:rsid w:val="005A4E82"/>
    <w:rsid w:val="005B6FF7"/>
    <w:rsid w:val="006A4EEA"/>
    <w:rsid w:val="006A7AF5"/>
    <w:rsid w:val="0072514B"/>
    <w:rsid w:val="0074132E"/>
    <w:rsid w:val="00795A7C"/>
    <w:rsid w:val="00815BAF"/>
    <w:rsid w:val="0083694C"/>
    <w:rsid w:val="00840905"/>
    <w:rsid w:val="008C0EE6"/>
    <w:rsid w:val="008E689A"/>
    <w:rsid w:val="008F41E2"/>
    <w:rsid w:val="00926316"/>
    <w:rsid w:val="00932F46"/>
    <w:rsid w:val="00951C75"/>
    <w:rsid w:val="00962CD7"/>
    <w:rsid w:val="009729B0"/>
    <w:rsid w:val="00993552"/>
    <w:rsid w:val="009C59BB"/>
    <w:rsid w:val="009E3D96"/>
    <w:rsid w:val="009F7AE3"/>
    <w:rsid w:val="00A01406"/>
    <w:rsid w:val="00A024F1"/>
    <w:rsid w:val="00A22DA4"/>
    <w:rsid w:val="00A779CC"/>
    <w:rsid w:val="00A85A3A"/>
    <w:rsid w:val="00AA1D8D"/>
    <w:rsid w:val="00AB5D86"/>
    <w:rsid w:val="00AF5FD5"/>
    <w:rsid w:val="00B25A6C"/>
    <w:rsid w:val="00B400B7"/>
    <w:rsid w:val="00B47730"/>
    <w:rsid w:val="00B75D44"/>
    <w:rsid w:val="00B811AB"/>
    <w:rsid w:val="00BD7D66"/>
    <w:rsid w:val="00C01126"/>
    <w:rsid w:val="00C04EA9"/>
    <w:rsid w:val="00C3051B"/>
    <w:rsid w:val="00C51D8C"/>
    <w:rsid w:val="00C81560"/>
    <w:rsid w:val="00C863B7"/>
    <w:rsid w:val="00CB0664"/>
    <w:rsid w:val="00CC3ABA"/>
    <w:rsid w:val="00CE7326"/>
    <w:rsid w:val="00D50B1E"/>
    <w:rsid w:val="00DA3CB8"/>
    <w:rsid w:val="00DA3FE4"/>
    <w:rsid w:val="00DC7B53"/>
    <w:rsid w:val="00DF29D7"/>
    <w:rsid w:val="00EC0149"/>
    <w:rsid w:val="00EF64AB"/>
    <w:rsid w:val="00F013A7"/>
    <w:rsid w:val="00F25DBD"/>
    <w:rsid w:val="00F74571"/>
    <w:rsid w:val="00F83CFB"/>
    <w:rsid w:val="00F86052"/>
    <w:rsid w:val="00FB3137"/>
    <w:rsid w:val="00FC693F"/>
    <w:rsid w:val="00FF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2A2DF4F"/>
  <w14:defaultImageDpi w14:val="300"/>
  <w15:docId w15:val="{72568F08-808C-4F29-B058-A829DE7BB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3233</Words>
  <Characters>17782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MUPANZI KITSHI</cp:lastModifiedBy>
  <cp:revision>4</cp:revision>
  <cp:lastPrinted>2026-07-08T16:25:00Z</cp:lastPrinted>
  <dcterms:created xsi:type="dcterms:W3CDTF">2026-07-08T16:24:00Z</dcterms:created>
  <dcterms:modified xsi:type="dcterms:W3CDTF">2026-07-08T16:25:00Z</dcterms:modified>
  <cp:category/>
</cp:coreProperties>
</file>