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842E7" w14:textId="77777777" w:rsidR="00417A44" w:rsidRPr="007E0C2A" w:rsidRDefault="006F3FA0" w:rsidP="007E0C2A">
      <w:pPr>
        <w:spacing w:after="0" w:line="20" w:lineRule="atLeast"/>
        <w:jc w:val="both"/>
        <w:rPr>
          <w:rFonts w:ascii="CG times" w:hAnsi="CG times"/>
          <w:sz w:val="27"/>
          <w:szCs w:val="27"/>
        </w:rPr>
      </w:pPr>
      <w:r w:rsidRPr="007E0C2A">
        <w:rPr>
          <w:rFonts w:ascii="CG times" w:hAnsi="CG times"/>
          <w:sz w:val="27"/>
          <w:szCs w:val="27"/>
        </w:rPr>
        <w:t xml:space="preserve">IMF BISOU </w:t>
      </w:r>
      <w:proofErr w:type="spellStart"/>
      <w:r w:rsidRPr="007E0C2A">
        <w:rPr>
          <w:rFonts w:ascii="CG times" w:hAnsi="CG times"/>
          <w:sz w:val="27"/>
          <w:szCs w:val="27"/>
        </w:rPr>
        <w:t>BISOU</w:t>
      </w:r>
      <w:proofErr w:type="spellEnd"/>
      <w:r w:rsidRPr="007E0C2A">
        <w:rPr>
          <w:rFonts w:ascii="CG times" w:hAnsi="CG times"/>
          <w:sz w:val="27"/>
          <w:szCs w:val="27"/>
        </w:rPr>
        <w:t xml:space="preserve"> S.A.</w:t>
      </w:r>
    </w:p>
    <w:p w14:paraId="65CB77AD" w14:textId="77777777" w:rsidR="006F3FA0" w:rsidRPr="007E0C2A" w:rsidRDefault="006F3FA0" w:rsidP="007E0C2A">
      <w:pPr>
        <w:spacing w:after="0" w:line="20" w:lineRule="atLeast"/>
        <w:jc w:val="both"/>
        <w:rPr>
          <w:rFonts w:ascii="CG times" w:hAnsi="CG times"/>
          <w:sz w:val="27"/>
          <w:szCs w:val="27"/>
          <w:u w:val="single"/>
        </w:rPr>
      </w:pPr>
      <w:r w:rsidRPr="007E0C2A">
        <w:rPr>
          <w:rFonts w:ascii="CG times" w:hAnsi="CG times"/>
          <w:sz w:val="27"/>
          <w:szCs w:val="27"/>
          <w:u w:val="single"/>
        </w:rPr>
        <w:t>CONTROLE INTERNE</w:t>
      </w:r>
    </w:p>
    <w:p w14:paraId="49BB06EE" w14:textId="77777777" w:rsidR="006F3FA0" w:rsidRPr="007E0C2A" w:rsidRDefault="006F3FA0" w:rsidP="007E0C2A">
      <w:pPr>
        <w:spacing w:after="0" w:line="20" w:lineRule="atLeast"/>
        <w:jc w:val="both"/>
        <w:rPr>
          <w:rFonts w:ascii="CG times" w:hAnsi="CG times"/>
          <w:sz w:val="27"/>
          <w:szCs w:val="27"/>
        </w:rPr>
      </w:pPr>
    </w:p>
    <w:p w14:paraId="2705C58F" w14:textId="77777777" w:rsidR="006F3FA0" w:rsidRDefault="006F3FA0" w:rsidP="007E0C2A">
      <w:pPr>
        <w:spacing w:after="0" w:line="20" w:lineRule="atLeast"/>
        <w:jc w:val="center"/>
        <w:rPr>
          <w:rFonts w:ascii="CG times" w:hAnsi="CG times"/>
          <w:sz w:val="27"/>
          <w:szCs w:val="27"/>
        </w:rPr>
      </w:pPr>
      <w:r w:rsidRPr="007E0C2A">
        <w:rPr>
          <w:rFonts w:ascii="CG times" w:hAnsi="CG times"/>
          <w:sz w:val="27"/>
          <w:szCs w:val="27"/>
        </w:rPr>
        <w:t>CARTOGRAPHIE DES RISQUES</w:t>
      </w:r>
    </w:p>
    <w:p w14:paraId="2378C469" w14:textId="77777777" w:rsidR="007E0C2A" w:rsidRDefault="007E0C2A" w:rsidP="007E0C2A">
      <w:pPr>
        <w:spacing w:after="0" w:line="20" w:lineRule="atLeast"/>
        <w:jc w:val="center"/>
        <w:rPr>
          <w:rFonts w:ascii="CG times" w:hAnsi="CG times"/>
          <w:sz w:val="27"/>
          <w:szCs w:val="27"/>
          <w:u w:val="single"/>
        </w:rPr>
      </w:pPr>
      <w:r>
        <w:rPr>
          <w:rFonts w:ascii="CG times" w:hAnsi="CG times"/>
          <w:sz w:val="27"/>
          <w:szCs w:val="27"/>
          <w:u w:val="single"/>
        </w:rPr>
        <w:t>______________________________</w:t>
      </w:r>
    </w:p>
    <w:p w14:paraId="6B13B23B" w14:textId="77777777" w:rsidR="007E0C2A" w:rsidRPr="007E0C2A" w:rsidRDefault="007E0C2A" w:rsidP="007E0C2A">
      <w:pPr>
        <w:spacing w:after="0" w:line="20" w:lineRule="atLeast"/>
        <w:jc w:val="center"/>
        <w:rPr>
          <w:rFonts w:ascii="CG times" w:hAnsi="CG times"/>
          <w:sz w:val="27"/>
          <w:szCs w:val="27"/>
          <w:u w:val="single"/>
        </w:rPr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440"/>
        <w:gridCol w:w="1398"/>
        <w:gridCol w:w="2977"/>
        <w:gridCol w:w="1417"/>
        <w:gridCol w:w="1276"/>
        <w:gridCol w:w="1276"/>
      </w:tblGrid>
      <w:tr w:rsidR="007E0C2A" w:rsidRPr="007E0C2A" w14:paraId="74827CBA" w14:textId="77777777" w:rsidTr="00BD00DC">
        <w:tc>
          <w:tcPr>
            <w:tcW w:w="440" w:type="dxa"/>
          </w:tcPr>
          <w:p w14:paraId="6DA96336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N°</w:t>
            </w:r>
          </w:p>
        </w:tc>
        <w:tc>
          <w:tcPr>
            <w:tcW w:w="1398" w:type="dxa"/>
          </w:tcPr>
          <w:p w14:paraId="16501079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Famille de risque</w:t>
            </w:r>
          </w:p>
        </w:tc>
        <w:tc>
          <w:tcPr>
            <w:tcW w:w="2977" w:type="dxa"/>
          </w:tcPr>
          <w:p w14:paraId="18949D32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Description</w:t>
            </w:r>
          </w:p>
        </w:tc>
        <w:tc>
          <w:tcPr>
            <w:tcW w:w="1417" w:type="dxa"/>
          </w:tcPr>
          <w:p w14:paraId="185F333A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Probabilité</w:t>
            </w:r>
          </w:p>
        </w:tc>
        <w:tc>
          <w:tcPr>
            <w:tcW w:w="1276" w:type="dxa"/>
          </w:tcPr>
          <w:p w14:paraId="173CE40E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Impact</w:t>
            </w:r>
          </w:p>
        </w:tc>
        <w:tc>
          <w:tcPr>
            <w:tcW w:w="1276" w:type="dxa"/>
          </w:tcPr>
          <w:p w14:paraId="1605B877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Niveau brut</w:t>
            </w:r>
          </w:p>
        </w:tc>
      </w:tr>
      <w:tr w:rsidR="007E0C2A" w:rsidRPr="007E0C2A" w14:paraId="43CB0F47" w14:textId="77777777" w:rsidTr="00BD00DC">
        <w:tc>
          <w:tcPr>
            <w:tcW w:w="440" w:type="dxa"/>
          </w:tcPr>
          <w:p w14:paraId="4CF7E10F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01</w:t>
            </w:r>
          </w:p>
        </w:tc>
        <w:tc>
          <w:tcPr>
            <w:tcW w:w="1398" w:type="dxa"/>
          </w:tcPr>
          <w:p w14:paraId="5C81CF18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Risque de crédit</w:t>
            </w:r>
          </w:p>
        </w:tc>
        <w:tc>
          <w:tcPr>
            <w:tcW w:w="2977" w:type="dxa"/>
          </w:tcPr>
          <w:p w14:paraId="7AF2B2F7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Impayés chroniques dus notamment à la mise en place de nouveaux produits sans une étude de faisabilité préalable</w:t>
            </w:r>
          </w:p>
          <w:p w14:paraId="4BC8B979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Culture de non remboursement</w:t>
            </w:r>
          </w:p>
          <w:p w14:paraId="6E8027A7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Instabilité des revenus du secteur informel</w:t>
            </w:r>
          </w:p>
          <w:p w14:paraId="457E238F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Faiblesse des garanties exécutoires</w:t>
            </w:r>
          </w:p>
        </w:tc>
        <w:tc>
          <w:tcPr>
            <w:tcW w:w="1417" w:type="dxa"/>
          </w:tcPr>
          <w:p w14:paraId="13270263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Elevée</w:t>
            </w:r>
          </w:p>
        </w:tc>
        <w:tc>
          <w:tcPr>
            <w:tcW w:w="1276" w:type="dxa"/>
          </w:tcPr>
          <w:p w14:paraId="5A9356D9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Majeur</w:t>
            </w:r>
          </w:p>
        </w:tc>
        <w:tc>
          <w:tcPr>
            <w:tcW w:w="1276" w:type="dxa"/>
          </w:tcPr>
          <w:p w14:paraId="6177963A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Critique</w:t>
            </w:r>
          </w:p>
        </w:tc>
      </w:tr>
      <w:tr w:rsidR="007E0C2A" w:rsidRPr="007E0C2A" w14:paraId="471F0397" w14:textId="77777777" w:rsidTr="00BD00DC">
        <w:tc>
          <w:tcPr>
            <w:tcW w:w="440" w:type="dxa"/>
          </w:tcPr>
          <w:p w14:paraId="6015F952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02</w:t>
            </w:r>
          </w:p>
        </w:tc>
        <w:tc>
          <w:tcPr>
            <w:tcW w:w="1398" w:type="dxa"/>
          </w:tcPr>
          <w:p w14:paraId="460AB986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Risque de change</w:t>
            </w:r>
          </w:p>
        </w:tc>
        <w:tc>
          <w:tcPr>
            <w:tcW w:w="2977" w:type="dxa"/>
          </w:tcPr>
          <w:p w14:paraId="247C1163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Economie fortement dollarisée (forte volatilité du franc congolais par rapport au dollar)</w:t>
            </w:r>
          </w:p>
          <w:p w14:paraId="46B3D649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Asymétrie entre dépôts en devises et crédits locaux</w:t>
            </w:r>
          </w:p>
        </w:tc>
        <w:tc>
          <w:tcPr>
            <w:tcW w:w="1417" w:type="dxa"/>
          </w:tcPr>
          <w:p w14:paraId="7C3087C1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Elevée</w:t>
            </w:r>
          </w:p>
        </w:tc>
        <w:tc>
          <w:tcPr>
            <w:tcW w:w="1276" w:type="dxa"/>
          </w:tcPr>
          <w:p w14:paraId="6CD50420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Majeur</w:t>
            </w:r>
          </w:p>
        </w:tc>
        <w:tc>
          <w:tcPr>
            <w:tcW w:w="1276" w:type="dxa"/>
          </w:tcPr>
          <w:p w14:paraId="430C3A22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Critique</w:t>
            </w:r>
          </w:p>
        </w:tc>
      </w:tr>
      <w:tr w:rsidR="007E0C2A" w:rsidRPr="007E0C2A" w14:paraId="732F8D18" w14:textId="77777777" w:rsidTr="00BD00DC">
        <w:tc>
          <w:tcPr>
            <w:tcW w:w="440" w:type="dxa"/>
          </w:tcPr>
          <w:p w14:paraId="0BD99E83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03</w:t>
            </w:r>
          </w:p>
        </w:tc>
        <w:tc>
          <w:tcPr>
            <w:tcW w:w="1398" w:type="dxa"/>
          </w:tcPr>
          <w:p w14:paraId="36A2B539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Risque opérationnel</w:t>
            </w:r>
          </w:p>
        </w:tc>
        <w:tc>
          <w:tcPr>
            <w:tcW w:w="2977" w:type="dxa"/>
          </w:tcPr>
          <w:p w14:paraId="1B0F16F0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Fraude interne (agents de crédit)</w:t>
            </w:r>
          </w:p>
          <w:p w14:paraId="2CEFB6C0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Manipulation d’espèces (braquage à la suite de transport des espèces par motos)</w:t>
            </w:r>
          </w:p>
          <w:p w14:paraId="0342BB1F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 xml:space="preserve">Défaillances des systèmes d’informations dans les zones périphériques du fait des coupures d’électricité. </w:t>
            </w:r>
          </w:p>
        </w:tc>
        <w:tc>
          <w:tcPr>
            <w:tcW w:w="1417" w:type="dxa"/>
          </w:tcPr>
          <w:p w14:paraId="32113FCC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Elevée</w:t>
            </w:r>
          </w:p>
        </w:tc>
        <w:tc>
          <w:tcPr>
            <w:tcW w:w="1276" w:type="dxa"/>
          </w:tcPr>
          <w:p w14:paraId="5AC93D0B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Modéré</w:t>
            </w:r>
          </w:p>
        </w:tc>
        <w:tc>
          <w:tcPr>
            <w:tcW w:w="1276" w:type="dxa"/>
          </w:tcPr>
          <w:p w14:paraId="7537A7DC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Elevé</w:t>
            </w:r>
          </w:p>
        </w:tc>
      </w:tr>
      <w:tr w:rsidR="007E0C2A" w:rsidRPr="007E0C2A" w14:paraId="651A2658" w14:textId="77777777" w:rsidTr="00BD00DC">
        <w:tc>
          <w:tcPr>
            <w:tcW w:w="440" w:type="dxa"/>
          </w:tcPr>
          <w:p w14:paraId="0244BA66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04</w:t>
            </w:r>
          </w:p>
        </w:tc>
        <w:tc>
          <w:tcPr>
            <w:tcW w:w="1398" w:type="dxa"/>
          </w:tcPr>
          <w:p w14:paraId="21AF8517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 xml:space="preserve">Risque d’infrastructure </w:t>
            </w:r>
          </w:p>
        </w:tc>
        <w:tc>
          <w:tcPr>
            <w:tcW w:w="2977" w:type="dxa"/>
          </w:tcPr>
          <w:p w14:paraId="65919960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Coupures fréquentes de fourniture en énergie électrique ;</w:t>
            </w:r>
          </w:p>
          <w:p w14:paraId="1DB5D670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 xml:space="preserve">Connectivité internet instable bloquant les synchronisations de </w:t>
            </w:r>
            <w:r w:rsidRPr="007E0C2A">
              <w:rPr>
                <w:rFonts w:ascii="CG times" w:hAnsi="CG times"/>
                <w:sz w:val="27"/>
                <w:szCs w:val="27"/>
              </w:rPr>
              <w:lastRenderedPageBreak/>
              <w:t>l’agence et des agents de  terrain</w:t>
            </w:r>
          </w:p>
        </w:tc>
        <w:tc>
          <w:tcPr>
            <w:tcW w:w="1417" w:type="dxa"/>
          </w:tcPr>
          <w:p w14:paraId="63F04301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lastRenderedPageBreak/>
              <w:t>Elevée</w:t>
            </w:r>
          </w:p>
        </w:tc>
        <w:tc>
          <w:tcPr>
            <w:tcW w:w="1276" w:type="dxa"/>
          </w:tcPr>
          <w:p w14:paraId="13475FAC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Modéré</w:t>
            </w:r>
          </w:p>
        </w:tc>
        <w:tc>
          <w:tcPr>
            <w:tcW w:w="1276" w:type="dxa"/>
          </w:tcPr>
          <w:p w14:paraId="342E08F3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Elevé</w:t>
            </w:r>
          </w:p>
        </w:tc>
      </w:tr>
      <w:tr w:rsidR="007E0C2A" w:rsidRPr="007E0C2A" w14:paraId="3D36CBDD" w14:textId="77777777" w:rsidTr="00BD00DC">
        <w:tc>
          <w:tcPr>
            <w:tcW w:w="440" w:type="dxa"/>
          </w:tcPr>
          <w:p w14:paraId="373DF687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05</w:t>
            </w:r>
          </w:p>
        </w:tc>
        <w:tc>
          <w:tcPr>
            <w:tcW w:w="1398" w:type="dxa"/>
          </w:tcPr>
          <w:p w14:paraId="5F277CD9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Risque sécuritaire</w:t>
            </w:r>
          </w:p>
        </w:tc>
        <w:tc>
          <w:tcPr>
            <w:tcW w:w="2977" w:type="dxa"/>
          </w:tcPr>
          <w:p w14:paraId="08ED6894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Manifestations publiques pouvant se transformer en scène des pillages ;</w:t>
            </w:r>
          </w:p>
          <w:p w14:paraId="16D19DC8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Risques physiques lors des transports de fonds  par motos dans la ville de Kinshasa</w:t>
            </w:r>
          </w:p>
        </w:tc>
        <w:tc>
          <w:tcPr>
            <w:tcW w:w="1417" w:type="dxa"/>
          </w:tcPr>
          <w:p w14:paraId="029EB4FC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Moyenne</w:t>
            </w:r>
          </w:p>
        </w:tc>
        <w:tc>
          <w:tcPr>
            <w:tcW w:w="1276" w:type="dxa"/>
          </w:tcPr>
          <w:p w14:paraId="1D91EB49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Modéré</w:t>
            </w:r>
          </w:p>
        </w:tc>
        <w:tc>
          <w:tcPr>
            <w:tcW w:w="1276" w:type="dxa"/>
          </w:tcPr>
          <w:p w14:paraId="01FC0ACB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Elevé</w:t>
            </w:r>
          </w:p>
        </w:tc>
      </w:tr>
      <w:tr w:rsidR="007E0C2A" w:rsidRPr="007E0C2A" w14:paraId="0524742E" w14:textId="77777777" w:rsidTr="00BD00DC">
        <w:tc>
          <w:tcPr>
            <w:tcW w:w="440" w:type="dxa"/>
          </w:tcPr>
          <w:p w14:paraId="7A37A704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06</w:t>
            </w:r>
          </w:p>
        </w:tc>
        <w:tc>
          <w:tcPr>
            <w:tcW w:w="1398" w:type="dxa"/>
          </w:tcPr>
          <w:p w14:paraId="440F2B1B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Risque de conformité et LCB-FT</w:t>
            </w:r>
          </w:p>
        </w:tc>
        <w:tc>
          <w:tcPr>
            <w:tcW w:w="2977" w:type="dxa"/>
          </w:tcPr>
          <w:p w14:paraId="14F57EF5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Sanctions pour ratios prudentiels non tenus</w:t>
            </w:r>
          </w:p>
        </w:tc>
        <w:tc>
          <w:tcPr>
            <w:tcW w:w="1417" w:type="dxa"/>
          </w:tcPr>
          <w:p w14:paraId="29142FCF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Moyenne</w:t>
            </w:r>
          </w:p>
        </w:tc>
        <w:tc>
          <w:tcPr>
            <w:tcW w:w="1276" w:type="dxa"/>
          </w:tcPr>
          <w:p w14:paraId="067AD186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Majeur</w:t>
            </w:r>
          </w:p>
        </w:tc>
        <w:tc>
          <w:tcPr>
            <w:tcW w:w="1276" w:type="dxa"/>
          </w:tcPr>
          <w:p w14:paraId="30C4B36F" w14:textId="77777777" w:rsidR="007E0C2A" w:rsidRPr="007E0C2A" w:rsidRDefault="007E0C2A" w:rsidP="007E0C2A">
            <w:pPr>
              <w:spacing w:line="20" w:lineRule="atLeast"/>
              <w:jc w:val="both"/>
              <w:rPr>
                <w:rFonts w:ascii="CG times" w:hAnsi="CG times"/>
                <w:sz w:val="27"/>
                <w:szCs w:val="27"/>
              </w:rPr>
            </w:pPr>
            <w:r w:rsidRPr="007E0C2A">
              <w:rPr>
                <w:rFonts w:ascii="CG times" w:hAnsi="CG times"/>
                <w:sz w:val="27"/>
                <w:szCs w:val="27"/>
              </w:rPr>
              <w:t>Elevé</w:t>
            </w:r>
          </w:p>
        </w:tc>
      </w:tr>
    </w:tbl>
    <w:p w14:paraId="6289CDCB" w14:textId="77777777" w:rsidR="006F3FA0" w:rsidRDefault="006F3FA0" w:rsidP="007E0C2A">
      <w:pPr>
        <w:spacing w:after="0" w:line="20" w:lineRule="atLeast"/>
        <w:jc w:val="both"/>
        <w:rPr>
          <w:rFonts w:ascii="CG times" w:hAnsi="CG times"/>
          <w:sz w:val="27"/>
          <w:szCs w:val="27"/>
        </w:rPr>
      </w:pPr>
    </w:p>
    <w:p w14:paraId="5BA8D0B7" w14:textId="77777777" w:rsidR="000404DD" w:rsidRDefault="000404DD" w:rsidP="000404DD">
      <w:pPr>
        <w:spacing w:after="0" w:line="20" w:lineRule="atLeast"/>
        <w:jc w:val="center"/>
        <w:rPr>
          <w:rFonts w:ascii="CG times" w:hAnsi="CG times"/>
          <w:sz w:val="27"/>
          <w:szCs w:val="27"/>
        </w:rPr>
      </w:pPr>
      <w:r>
        <w:rPr>
          <w:rFonts w:ascii="CG times" w:hAnsi="CG times"/>
          <w:sz w:val="27"/>
          <w:szCs w:val="27"/>
        </w:rPr>
        <w:t>PLAN D’ACTION STRATEGIQUE ET MAITRISE DES RISQUES</w:t>
      </w:r>
    </w:p>
    <w:p w14:paraId="765BF2DD" w14:textId="77777777" w:rsidR="000404DD" w:rsidRDefault="000404DD" w:rsidP="000404DD">
      <w:pPr>
        <w:spacing w:after="0" w:line="20" w:lineRule="atLeast"/>
        <w:jc w:val="center"/>
        <w:rPr>
          <w:rFonts w:ascii="CG times" w:hAnsi="CG times"/>
          <w:sz w:val="27"/>
          <w:szCs w:val="27"/>
        </w:rPr>
      </w:pPr>
      <w:r>
        <w:rPr>
          <w:rFonts w:ascii="CG times" w:hAnsi="CG times"/>
          <w:sz w:val="27"/>
          <w:szCs w:val="27"/>
        </w:rPr>
        <w:t>-----------------------------------------------</w:t>
      </w:r>
    </w:p>
    <w:p w14:paraId="40810830" w14:textId="77777777" w:rsidR="000404DD" w:rsidRDefault="000404DD" w:rsidP="000404DD">
      <w:pPr>
        <w:spacing w:after="0" w:line="20" w:lineRule="atLeast"/>
        <w:jc w:val="center"/>
        <w:rPr>
          <w:rFonts w:ascii="CG times" w:hAnsi="CG times"/>
          <w:sz w:val="27"/>
          <w:szCs w:val="27"/>
        </w:rPr>
      </w:pPr>
    </w:p>
    <w:p w14:paraId="3123F5AD" w14:textId="77777777" w:rsidR="000404DD" w:rsidRDefault="000404DD" w:rsidP="000404DD">
      <w:pPr>
        <w:spacing w:after="0" w:line="20" w:lineRule="atLeast"/>
        <w:jc w:val="center"/>
        <w:rPr>
          <w:rFonts w:ascii="CG times" w:hAnsi="CG times"/>
          <w:sz w:val="27"/>
          <w:szCs w:val="27"/>
        </w:rPr>
      </w:pPr>
    </w:p>
    <w:p w14:paraId="4B94B853" w14:textId="77777777" w:rsidR="000404DD" w:rsidRDefault="000404DD" w:rsidP="000404DD">
      <w:pPr>
        <w:spacing w:after="0" w:line="20" w:lineRule="atLeast"/>
        <w:jc w:val="center"/>
        <w:rPr>
          <w:rFonts w:ascii="CG times" w:hAnsi="CG times"/>
          <w:sz w:val="27"/>
          <w:szCs w:val="27"/>
        </w:rPr>
      </w:pPr>
    </w:p>
    <w:p w14:paraId="23703720" w14:textId="77777777" w:rsidR="000404DD" w:rsidRPr="007E0C2A" w:rsidRDefault="000404DD" w:rsidP="000404DD">
      <w:pPr>
        <w:spacing w:after="0" w:line="20" w:lineRule="atLeast"/>
        <w:jc w:val="center"/>
        <w:rPr>
          <w:rFonts w:ascii="CG times" w:hAnsi="CG times"/>
          <w:sz w:val="27"/>
          <w:szCs w:val="27"/>
        </w:rPr>
      </w:pPr>
    </w:p>
    <w:sectPr w:rsidR="000404DD" w:rsidRPr="007E0C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FA0"/>
    <w:rsid w:val="000404DD"/>
    <w:rsid w:val="001752D1"/>
    <w:rsid w:val="002356D6"/>
    <w:rsid w:val="00417A44"/>
    <w:rsid w:val="006F3FA0"/>
    <w:rsid w:val="007E0C2A"/>
    <w:rsid w:val="00B52684"/>
    <w:rsid w:val="00BF4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A7F20"/>
  <w15:chartTrackingRefBased/>
  <w15:docId w15:val="{A093550F-EF5F-4D6A-A6A4-AD7A3E77E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F3F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anderson lubaku</cp:lastModifiedBy>
  <cp:revision>3</cp:revision>
  <dcterms:created xsi:type="dcterms:W3CDTF">2026-06-20T06:20:00Z</dcterms:created>
  <dcterms:modified xsi:type="dcterms:W3CDTF">2026-06-20T06:28:00Z</dcterms:modified>
</cp:coreProperties>
</file>