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rsidRPr="00475D23" w:rsidR="004D5D9E" w:rsidP="00D11A2E" w:rsidRDefault="004D5D9E" w14:paraId="390C0074" w14:textId="0DE3EDE4">
      <w:pPr>
        <w:pStyle w:val="InfoBlue"/>
      </w:pPr>
      <w:r w:rsidRPr="00475D23">
        <w:t xml:space="preserve">UNSW allows employees to request an alternate day in lieu of the Australia Day public holiday. </w:t>
      </w:r>
    </w:p>
    <w:p w:rsidRPr="00475D23" w:rsidR="004D5D9E" w:rsidP="00D11A2E" w:rsidRDefault="004D5D9E" w14:paraId="1C7A4353" w14:textId="77777777">
      <w:pPr>
        <w:pStyle w:val="InfoBlue"/>
      </w:pPr>
      <w:r w:rsidRPr="00475D23">
        <w:t xml:space="preserve">Employees must submit in writing to their supervisor nominating their chosen alternate day of leave in lieu of the Australia Day public holiday. </w:t>
      </w:r>
    </w:p>
    <w:p w:rsidRPr="00475D23" w:rsidR="00506C66" w:rsidP="00D11A2E" w:rsidRDefault="004D5D9E" w14:paraId="46693D72" w14:textId="1A0F6D9E">
      <w:pPr>
        <w:pStyle w:val="InfoBlue"/>
      </w:pPr>
      <w:r w:rsidRPr="00475D23">
        <w:t>The alternate day must be taken either the working day prior to the Australia Day public holiday, or the working day after the Australia Day public holiday – or another day in the same pay period as the Australia Day public holiday.</w:t>
      </w:r>
    </w:p>
    <w:p>
      <w:r>
        <w:drawing>
          <wp:inline distT="0" distB="0" distL="0" distR="0">
            <wp:extent cx="3810000" cy="28575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4fb9fb52ff394a6e" cstate="print">
                      <a:extLst>
                        <a:ext uri="{28A0092B-C50C-407E-A947-70E740481C1C}"/>
                      </a:extLst>
                    </a:blip>
                    <a:stretch>
                      <a:fillRect/>
                    </a:stretch>
                  </pic:blipFill>
                  <pic:spPr>
                    <a:xfrm>
                      <a:off x="0" y="0"/>
                      <a:ext cx="3810000" cy="2857500"/>
                    </a:xfrm>
                    <a:prstGeom prst="rect">
                      <a:avLst/>
                    </a:prstGeom>
                  </pic:spPr>
                </pic:pic>
              </a:graphicData>
            </a:graphic>
          </wp:inline>
        </w:drawing>
      </w:r>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emf"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package" Target="embeddings/Microsoft_Word_Document.docx"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eader" Target="header2.xml" Id="rId22" /><Relationship Type="http://schemas.openxmlformats.org/officeDocument/2006/relationships/image" Target="/media/image.jpg" Id="R4fb9fb52ff394a6e" /></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