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pPr>
        <w:pStyle w:val="InfoBlue"/>
      </w:pPr>
      <w:r>
        <w:t>This section has been considered but is not applicable at this time,</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0.7</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23 Apr 2025</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Included a new section 'New horizons' and updated the table of contents.</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p>
          <w:r>
            <w:t>New horizons</w:t>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Heading2"/>
        <w:keepLines w:val="0"/>
        <w:spacing w:before="240" w:after="120" w:line="240" w:lineRule="auto"/>
        <w:rPr>
          <w:rFonts w:ascii="Aptos" w:hAnsi="Aptos" w:cs="Arial"/>
        </w:rPr>
      </w:pPr>
      <w:r>
        <w:t>New horizons</w:t>
      </w:r>
    </w:p>
    <w:p>
      <w:pPr>
        <w:pStyle w:val="Heading2"/>
        <w:keepLines w:val="0"/>
        <w:spacing w:before="240" w:after="120" w:line="240" w:lineRule="auto"/>
        <w:rPr>
          <w:rFonts w:ascii="Aptos" w:hAnsi="Aptos" w:cs="Arial"/>
        </w:rPr>
      </w:pPr>
      <w:r>
        <w:t>We are facing new horizons in the market. We need to adapt to the new market conditions and to the new customer needs. We need to be more agile and to be able to react to the market changes. We need to be more innovative and to be able to develop new products and services. We need to be more competitive and to be able to compete with the new market leaders.</w:t>
      </w:r>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pPr>
        <w:numPr>
          <w:ilvl w:val="0"/>
          <w:numId w:val="8"/>
        </w:numPr>
        <w:rPr>
          <w:rFonts w:ascii="Aptos" w:hAnsi="Aptos"/>
          <w:sz w:val="20"/>
          <w:szCs w:val="20"/>
        </w:rPr>
      </w:pPr>
      <w:r>
        <w:t>We are not going to work on external dependencies yet,</w:t>
      </w:r>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p>
      <w:pPr>
        <w:pStyle w:val="Heading2"/>
        <w:keepLines w:val="0"/>
        <w:numPr>
          <w:ilvl w:val="1"/>
          <w:numId w:val="2"/>
        </w:numPr>
        <w:spacing w:before="240" w:after="120" w:line="240" w:lineRule="auto"/>
        <w:rPr>
          <w:rFonts w:ascii="Aptos" w:hAnsi="Aptos"/>
        </w:rPr>
      </w:pPr>
      <w:r>
        <w:t>We are not capable of dealing with docx in a proper way,</w:t>
      </w:r>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The system shall support multi-language interfaces.</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The application shall provide real-time data processing.</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The software shall be compatible with all major browsers.</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The system shall allow for user role management.</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The application shall have a responsive design.</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pPr>
        <w:rPr>
          <w:rFonts w:ascii="Aptos" w:hAnsi="Aptos"/>
        </w:rPr>
      </w:pPr>
      <w:r>
        <w:t>This section has been considered but is not applicable at this time,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pPr>
        <w:rPr>
          <w:rFonts w:ascii="Aptos" w:hAnsi="Aptos"/>
        </w:rPr>
      </w:pPr>
      <w:r>
        <w:t>This section has been considered but is not applicable at this time,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p>
      <w:pPr>
        <w:pStyle w:val="ListParagraph"/>
        <w:ind w:left="0"/>
        <w:rPr>
          <w:rFonts w:ascii="Aptos" w:hAnsi="Aptos"/>
        </w:rPr>
      </w:pPr>
      <w:r>
        <w:t>This section has been considered but is not applicable at this time,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pPr>
        <w:pStyle w:val="ListParagraph"/>
        <w:ind w:left="0"/>
        <w:rPr>
          <w:rFonts w:ascii="Aptos" w:hAnsi="Aptos"/>
        </w:rPr>
      </w:pPr>
      <w:r>
        <w:t>This section has been considered but is not applicable at this time,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pPr>
        <w:rPr>
          <w:rFonts w:ascii="Aptos" w:hAnsi="Aptos"/>
        </w:rPr>
      </w:pPr>
      <w:r>
        <w:t>This section has been considered but is not applicable at this time,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pPr>
        <w:rPr>
          <w:rFonts w:ascii="Aptos" w:hAnsi="Aptos"/>
        </w:rPr>
      </w:pPr>
      <w:r>
        <w:t>This section has been considered but is not applicable at this time,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pPr>
        <w:rPr>
          <w:rFonts w:ascii="Aptos" w:hAnsi="Aptos" w:eastAsia="Times New Roman"/>
          <w:i/>
          <w:iCs/>
          <w:color w:val="0070C0"/>
          <w:sz w:val="20"/>
          <w:szCs w:val="20"/>
        </w:rPr>
      </w:pPr>
      <w:r>
        <w:t>This section has been considered but is not applicable at this time,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p>
      <w:pPr>
        <w:rPr>
          <w:rFonts w:ascii="Aptos" w:hAnsi="Aptos"/>
        </w:rPr>
      </w:pPr>
      <w:r>
        <w:t>This section has been considered but is not applicable at this time,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