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Algemene Voorwaarden</w:t>
      </w:r>
    </w:p>
    <w:p>
      <w:pPr>
        <w:spacing w:after="240"/>
      </w:pPr>
      <w:r>
        <w:rPr>
          <w:i/>
          <w:iCs/>
          <w:color w:val="666666"/>
          <w:sz w:val="20"/>
          <w:szCs w:val="20"/>
        </w:rPr>
        <w:t xml:space="preserve">Laatst bijgewerkt: </w:t>
      </w:r>
      <w:r>
        <w:rPr>
          <w:i/>
          <w:iCs/>
          <w:color w:val="666666"/>
          <w:sz w:val="20"/>
          <w:szCs w:val="20"/>
        </w:rPr>
        <w:t xml:space="preserve">[datum invullen]</w:t>
      </w:r>
    </w:p>
    <w:p>
      <w:pPr>
        <w:pStyle w:val="Heading1"/>
        <w:spacing w:after="120" w:before="240"/>
      </w:pPr>
      <w:r>
        <w:rPr>
          <w:b/>
          <w:bCs/>
          <w:sz w:val="32"/>
          <w:szCs w:val="32"/>
        </w:rPr>
        <w:t xml:space="preserve">1. Aanvaarding van de voorwaarden</w:t>
      </w:r>
    </w:p>
    <w:p>
      <w:pPr>
        <w:spacing w:after="80" w:before="80"/>
      </w:pPr>
      <w:r>
        <w:t xml:space="preserve">Door toegang tot en gebruik van het Cairnly-platform, geëxploiteerd door Human in the Loop B.V., handelend onder de naam Cairnly (“wij”, “ons”, “onze”), aanvaard je en stem je ermee in gebonden te zijn aan deze Algemene Voorwaarden (“Voorwaarden”). Als je niet akkoord gaat met deze Voorwaarden, gebruik onze dienst dan niet.</w:t>
      </w:r>
    </w:p>
    <w:p>
      <w:pPr>
        <w:spacing w:after="80" w:before="80"/>
      </w:pPr>
      <w:r>
        <w:t xml:space="preserve">Deze Voorwaarden gelden voor alle bezoekers, gebruikers en anderen die toegang hebben tot of gebruikmaken van onze carrière-assessmentdiensten.</w:t>
      </w:r>
    </w:p>
    <w:p>
      <w:pPr>
        <w:pStyle w:val="Heading1"/>
        <w:spacing w:after="120" w:before="240"/>
      </w:pPr>
      <w:r>
        <w:rPr>
          <w:b/>
          <w:bCs/>
          <w:sz w:val="32"/>
          <w:szCs w:val="32"/>
        </w:rPr>
        <w:t xml:space="preserve">2. Omschrijving van de dienst</w:t>
      </w:r>
    </w:p>
    <w:p>
      <w:pPr>
        <w:spacing w:after="80" w:before="80"/>
      </w:pPr>
      <w:r>
        <w:t xml:space="preserve">Cairnly biedt AI-ondersteunde carrière-assessmentdiensten die zijn ontworpen om gepersonaliseerd loopbaaninzicht te leveren via interactieve, chat-gebaseerde evaluaties. Onze diensten omvatten:</w:t>
      </w:r>
    </w:p>
    <w:p>
      <w:pPr>
        <w:pStyle w:val="ListParagraph"/>
        <w:numPr>
          <w:ilvl w:val="0"/>
          <w:numId w:val="2"/>
        </w:numPr>
        <w:spacing w:after="40" w:before="40"/>
      </w:pPr>
      <w:r>
        <w:t xml:space="preserve">Uitgebreide carrière-assessments en persoonlijkheidsevaluaties</w:t>
      </w:r>
    </w:p>
    <w:p>
      <w:pPr>
        <w:pStyle w:val="ListParagraph"/>
        <w:numPr>
          <w:ilvl w:val="0"/>
          <w:numId w:val="2"/>
        </w:numPr>
        <w:spacing w:after="40" w:before="40"/>
      </w:pPr>
      <w:r>
        <w:t xml:space="preserve">Gepersonaliseerde rapporten en aanbevelingen voor loopbaaninzicht</w:t>
      </w:r>
    </w:p>
    <w:p>
      <w:pPr>
        <w:pStyle w:val="ListParagraph"/>
        <w:numPr>
          <w:ilvl w:val="0"/>
          <w:numId w:val="2"/>
        </w:numPr>
        <w:spacing w:after="40" w:before="40"/>
      </w:pPr>
      <w:r>
        <w:t xml:space="preserve">AI-ondersteunde analyse van loopbaanvoorkeuren en vaardigheden</w:t>
      </w:r>
    </w:p>
    <w:p>
      <w:pPr>
        <w:pStyle w:val="ListParagraph"/>
        <w:numPr>
          <w:ilvl w:val="0"/>
          <w:numId w:val="2"/>
        </w:numPr>
        <w:spacing w:after="40" w:before="40"/>
      </w:pPr>
      <w:r>
        <w:t xml:space="preserve">Veilige gegevensopslag en accountbeheer</w:t>
      </w:r>
    </w:p>
    <w:p>
      <w:pPr>
        <w:pStyle w:val="ListParagraph"/>
        <w:numPr>
          <w:ilvl w:val="0"/>
          <w:numId w:val="2"/>
        </w:numPr>
        <w:spacing w:after="40" w:before="40"/>
      </w:pPr>
      <w:r>
        <w:t xml:space="preserve">LinkedIn-integratie voor uitgebreide profielanalyse (optioneel)</w:t>
      </w:r>
    </w:p>
    <w:p>
      <w:pPr>
        <w:spacing w:after="80" w:before="80"/>
      </w:pPr>
      <w:r>
        <w:t xml:space="preserve">Ons platform bevindt zich op dit moment in de Beta-fase en wij verbeteren onze diensten doorlopend op basis van gebruikersfeedback en technologische ontwikkelingen.</w:t>
      </w:r>
    </w:p>
    <w:p>
      <w:pPr>
        <w:pStyle w:val="Heading1"/>
        <w:spacing w:after="120" w:before="240"/>
      </w:pPr>
      <w:r>
        <w:rPr>
          <w:b/>
          <w:bCs/>
          <w:sz w:val="32"/>
          <w:szCs w:val="32"/>
        </w:rPr>
        <w:t xml:space="preserve">3. Gebruikersaccounts en registratie</w:t>
      </w:r>
    </w:p>
    <w:p>
      <w:pPr>
        <w:spacing w:after="80" w:before="80"/>
      </w:pPr>
      <w:r>
        <w:t xml:space="preserve">Voor toegang tot onze diensten moet je een account aanmaken met juiste en volledige informatie. Je bent verantwoordelijk voor:</w:t>
      </w:r>
    </w:p>
    <w:p>
      <w:pPr>
        <w:pStyle w:val="ListParagraph"/>
        <w:numPr>
          <w:ilvl w:val="0"/>
          <w:numId w:val="2"/>
        </w:numPr>
        <w:spacing w:after="40" w:before="40"/>
      </w:pPr>
      <w:r>
        <w:t xml:space="preserve">Het vertrouwelijk houden van jouw inloggegevens</w:t>
      </w:r>
    </w:p>
    <w:p>
      <w:pPr>
        <w:pStyle w:val="ListParagraph"/>
        <w:numPr>
          <w:ilvl w:val="0"/>
          <w:numId w:val="2"/>
        </w:numPr>
        <w:spacing w:after="40" w:before="40"/>
      </w:pPr>
      <w:r>
        <w:t xml:space="preserve">Alle activiteiten die plaatsvinden onder jouw account</w:t>
      </w:r>
    </w:p>
    <w:p>
      <w:pPr>
        <w:pStyle w:val="ListParagraph"/>
        <w:numPr>
          <w:ilvl w:val="0"/>
          <w:numId w:val="2"/>
        </w:numPr>
        <w:spacing w:after="40" w:before="40"/>
      </w:pPr>
      <w:r>
        <w:t xml:space="preserve">Het direct melden van onbevoegd gebruik</w:t>
      </w:r>
    </w:p>
    <w:p>
      <w:pPr>
        <w:pStyle w:val="ListParagraph"/>
        <w:numPr>
          <w:ilvl w:val="0"/>
          <w:numId w:val="2"/>
        </w:numPr>
        <w:spacing w:after="40" w:before="40"/>
      </w:pPr>
      <w:r>
        <w:t xml:space="preserve">Het verstrekken van juiste en actuele informatie</w:t>
      </w:r>
    </w:p>
    <w:p>
      <w:pPr>
        <w:spacing w:after="80" w:before="80"/>
      </w:pPr>
      <w:r>
        <w:t xml:space="preserve">Je moet 18 jaar of ouder zijn om onze diensten te gebruiken. Door een account aan te maken, verklaar je aan deze leeftijdseis te voldoen.</w:t>
      </w:r>
    </w:p>
    <w:p>
      <w:pPr>
        <w:pStyle w:val="Heading1"/>
        <w:spacing w:after="120" w:before="240"/>
      </w:pPr>
      <w:r>
        <w:rPr>
          <w:b/>
          <w:bCs/>
          <w:sz w:val="32"/>
          <w:szCs w:val="32"/>
        </w:rPr>
        <w:t xml:space="preserve">4. Toegangscodes en betaling</w:t>
      </w:r>
    </w:p>
    <w:p>
      <w:pPr>
        <w:spacing w:after="60" w:before="120"/>
      </w:pPr>
      <w:r>
        <w:rPr>
          <w:b/>
          <w:bCs/>
          <w:sz w:val="24"/>
          <w:szCs w:val="24"/>
        </w:rPr>
        <w:t xml:space="preserve">4.1 Toegangscodes</w:t>
      </w:r>
    </w:p>
    <w:p>
      <w:pPr>
        <w:spacing w:after="80" w:before="80"/>
      </w:pPr>
      <w:r>
        <w:t xml:space="preserve">Voor toegang tot onze assessmentdiensten is een geldige toegangscode vereist. Deze kun je verkrijgen via:</w:t>
      </w:r>
    </w:p>
    <w:p>
      <w:pPr>
        <w:pStyle w:val="ListParagraph"/>
        <w:numPr>
          <w:ilvl w:val="0"/>
          <w:numId w:val="2"/>
        </w:numPr>
        <w:spacing w:after="40" w:before="40"/>
      </w:pPr>
      <w:r>
        <w:t xml:space="preserve">Directe aankoop via ons platform</w:t>
      </w:r>
    </w:p>
    <w:p>
      <w:pPr>
        <w:pStyle w:val="ListParagraph"/>
        <w:numPr>
          <w:ilvl w:val="0"/>
          <w:numId w:val="2"/>
        </w:numPr>
        <w:spacing w:after="40" w:before="40"/>
      </w:pPr>
      <w:r>
        <w:t xml:space="preserve">Externe aanbieders of partners</w:t>
      </w:r>
    </w:p>
    <w:p>
      <w:pPr>
        <w:pStyle w:val="ListParagraph"/>
        <w:numPr>
          <w:ilvl w:val="0"/>
          <w:numId w:val="2"/>
        </w:numPr>
        <w:spacing w:after="40" w:before="40"/>
      </w:pPr>
      <w:r>
        <w:t xml:space="preserve">Promotionele acties of beta-toegangsprogramma’s</w:t>
      </w:r>
    </w:p>
    <w:p>
      <w:pPr>
        <w:spacing w:after="60" w:before="120"/>
      </w:pPr>
      <w:r>
        <w:rPr>
          <w:b/>
          <w:bCs/>
          <w:sz w:val="24"/>
          <w:szCs w:val="24"/>
        </w:rPr>
        <w:t xml:space="preserve">4.2 Betalingsvoorwaarden</w:t>
      </w:r>
    </w:p>
    <w:p>
      <w:pPr>
        <w:pStyle w:val="ListParagraph"/>
        <w:numPr>
          <w:ilvl w:val="0"/>
          <w:numId w:val="2"/>
        </w:numPr>
        <w:spacing w:after="40" w:before="40"/>
      </w:pPr>
      <w:r>
        <w:t xml:space="preserve">Alle bedragen zijn niet-restitueerbaar, tenzij anders vermeld</w:t>
      </w:r>
    </w:p>
    <w:p>
      <w:pPr>
        <w:pStyle w:val="ListParagraph"/>
        <w:numPr>
          <w:ilvl w:val="0"/>
          <w:numId w:val="2"/>
        </w:numPr>
        <w:spacing w:after="40" w:before="40"/>
      </w:pPr>
      <w:r>
        <w:t xml:space="preserve">Prijzen kunnen na aankondiging worden aangepast</w:t>
      </w:r>
    </w:p>
    <w:p>
      <w:pPr>
        <w:pStyle w:val="ListParagraph"/>
        <w:numPr>
          <w:ilvl w:val="0"/>
          <w:numId w:val="2"/>
        </w:numPr>
        <w:spacing w:after="40" w:before="40"/>
      </w:pPr>
      <w:r>
        <w:t xml:space="preserve">Betalingen worden verwerkt door beveiligde externe dienstverleners</w:t>
      </w:r>
    </w:p>
    <w:p>
      <w:pPr>
        <w:pStyle w:val="ListParagraph"/>
        <w:numPr>
          <w:ilvl w:val="0"/>
          <w:numId w:val="2"/>
        </w:numPr>
        <w:spacing w:after="40" w:before="40"/>
      </w:pPr>
      <w:r>
        <w:t xml:space="preserve">Toegangscodes hebben een vervaldatum zoals vermeld bij aankoop</w:t>
      </w:r>
    </w:p>
    <w:p>
      <w:pPr>
        <w:spacing w:after="60" w:before="120"/>
      </w:pPr>
      <w:r>
        <w:rPr>
          <w:b/>
          <w:bCs/>
          <w:sz w:val="24"/>
          <w:szCs w:val="24"/>
        </w:rPr>
        <w:t xml:space="preserve">4.3 Restitutiebeleid</w:t>
      </w:r>
    </w:p>
    <w:p>
      <w:pPr>
        <w:spacing w:after="80" w:before="80"/>
      </w:pPr>
      <w:r>
        <w:t xml:space="preserve">Vanwege de aard van onze digitale assessmentdiensten zijn alle aankopen definitief. In individuele gevallen kan restitutie worden overwogen bij technische problemen die de levering van de dienst verhinderen, een en ander naar ons redelijke inzicht en na onderzoek.</w:t>
      </w:r>
    </w:p>
    <w:p>
      <w:pPr>
        <w:spacing w:after="80" w:before="80"/>
      </w:pPr>
      <w:r>
        <w:t xml:space="preserve">In afwijking van het voorgaande kunnen gedeeltelijke terugbetalingen worden uitgekeerd aan gebruikers die deelnemen aan het Cairnly Referral Programma. Deze terugbetalingen worden geregeld door de afzonderlijke Voorwaarden Referral Programma en worden behandeld als terugwerkende verlaging van de oorspronkelijke aankoopprijs.</w:t>
      </w:r>
    </w:p>
    <w:p>
      <w:pPr>
        <w:pStyle w:val="Heading1"/>
        <w:spacing w:after="120" w:before="240"/>
      </w:pPr>
      <w:r>
        <w:rPr>
          <w:b/>
          <w:bCs/>
          <w:sz w:val="32"/>
          <w:szCs w:val="32"/>
        </w:rPr>
        <w:t xml:space="preserve">5. Aanvaardbaar gebruik</w:t>
      </w:r>
    </w:p>
    <w:p>
      <w:pPr>
        <w:spacing w:after="80" w:before="80"/>
      </w:pPr>
      <w:r>
        <w:t xml:space="preserve">Je stemt ermee in om niet:</w:t>
      </w:r>
    </w:p>
    <w:p>
      <w:pPr>
        <w:pStyle w:val="ListParagraph"/>
        <w:numPr>
          <w:ilvl w:val="0"/>
          <w:numId w:val="2"/>
        </w:numPr>
        <w:spacing w:after="40" w:before="40"/>
      </w:pPr>
      <w:r>
        <w:t xml:space="preserve">De dienst te gebruiken voor onwettige doeleinden of in strijd met geldende wetgeving</w:t>
      </w:r>
    </w:p>
    <w:p>
      <w:pPr>
        <w:pStyle w:val="ListParagraph"/>
        <w:numPr>
          <w:ilvl w:val="0"/>
          <w:numId w:val="2"/>
        </w:numPr>
        <w:spacing w:after="40" w:before="40"/>
      </w:pPr>
      <w:r>
        <w:t xml:space="preserve">Toegangscodes te delen met onbevoegden</w:t>
      </w:r>
    </w:p>
    <w:p>
      <w:pPr>
        <w:pStyle w:val="ListParagraph"/>
        <w:numPr>
          <w:ilvl w:val="0"/>
          <w:numId w:val="2"/>
        </w:numPr>
        <w:spacing w:after="40" w:before="40"/>
      </w:pPr>
      <w:r>
        <w:t xml:space="preserve">Te proberen ons platform te reverse engineeren, te hacken of te compromitteren</w:t>
      </w:r>
    </w:p>
    <w:p>
      <w:pPr>
        <w:pStyle w:val="ListParagraph"/>
        <w:numPr>
          <w:ilvl w:val="0"/>
          <w:numId w:val="2"/>
        </w:numPr>
        <w:spacing w:after="40" w:before="40"/>
      </w:pPr>
      <w:r>
        <w:t xml:space="preserve">Schadelijke content te uploaden of onze diensten te verstoren</w:t>
      </w:r>
    </w:p>
    <w:p>
      <w:pPr>
        <w:pStyle w:val="ListParagraph"/>
        <w:numPr>
          <w:ilvl w:val="0"/>
          <w:numId w:val="2"/>
        </w:numPr>
        <w:spacing w:after="40" w:before="40"/>
      </w:pPr>
      <w:r>
        <w:t xml:space="preserve">Je voor te doen als anderen of onjuiste informatie te verstrekken</w:t>
      </w:r>
    </w:p>
    <w:p>
      <w:pPr>
        <w:pStyle w:val="ListParagraph"/>
        <w:numPr>
          <w:ilvl w:val="0"/>
          <w:numId w:val="2"/>
        </w:numPr>
        <w:spacing w:after="40" w:before="40"/>
      </w:pPr>
      <w:r>
        <w:t xml:space="preserve">Geautomatiseerde scripts of bots in te zetten om onze diensten te benaderen</w:t>
      </w:r>
    </w:p>
    <w:p>
      <w:pPr>
        <w:pStyle w:val="ListParagraph"/>
        <w:numPr>
          <w:ilvl w:val="0"/>
          <w:numId w:val="2"/>
        </w:numPr>
        <w:spacing w:after="40" w:before="40"/>
      </w:pPr>
      <w:r>
        <w:t xml:space="preserve">Intellectuele-eigendomsrechten van Cairnly of derden te schenden</w:t>
      </w:r>
    </w:p>
    <w:p>
      <w:pPr>
        <w:pStyle w:val="Heading1"/>
        <w:spacing w:after="120" w:before="240"/>
      </w:pPr>
      <w:r>
        <w:rPr>
          <w:b/>
          <w:bCs/>
          <w:sz w:val="32"/>
          <w:szCs w:val="32"/>
        </w:rPr>
        <w:t xml:space="preserve">6. Intellectuele-eigendomsrechten</w:t>
      </w:r>
    </w:p>
    <w:p>
      <w:pPr>
        <w:spacing w:after="80" w:before="80"/>
      </w:pPr>
      <w:r>
        <w:t xml:space="preserve">Het Cairnly-platform, inclusief alle content, functies, functionaliteit en technologie, is eigendom van Human in the Loop B.V. en wordt beschermd door auteursrecht, merkenrecht en andere intellectuele-eigendomsrechten.</w:t>
      </w:r>
    </w:p>
    <w:p>
      <w:pPr>
        <w:spacing w:after="60" w:before="120"/>
      </w:pPr>
      <w:r>
        <w:rPr>
          <w:b/>
          <w:bCs/>
          <w:sz w:val="24"/>
          <w:szCs w:val="24"/>
        </w:rPr>
        <w:t xml:space="preserve">6.1 Jouw content</w:t>
      </w:r>
    </w:p>
    <w:p>
      <w:pPr>
        <w:spacing w:after="80" w:before="80"/>
      </w:pPr>
      <w:r>
        <w:t xml:space="preserve">Je behoudt het eigendom van de informatie die je verstrekt tijdens assessments. Je verleent ons echter een beperkte licentie om deze informatie te gebruiken om:</w:t>
      </w:r>
    </w:p>
    <w:p>
      <w:pPr>
        <w:pStyle w:val="ListParagraph"/>
        <w:numPr>
          <w:ilvl w:val="0"/>
          <w:numId w:val="2"/>
        </w:numPr>
        <w:spacing w:after="40" w:before="40"/>
      </w:pPr>
      <w:r>
        <w:t xml:space="preserve">Onze assessmentdiensten te leveren en te verbeteren</w:t>
      </w:r>
    </w:p>
    <w:p>
      <w:pPr>
        <w:pStyle w:val="ListParagraph"/>
        <w:numPr>
          <w:ilvl w:val="0"/>
          <w:numId w:val="2"/>
        </w:numPr>
        <w:spacing w:after="40" w:before="40"/>
      </w:pPr>
      <w:r>
        <w:t xml:space="preserve">Jouw gepersonaliseerde rapporten te genereren</w:t>
      </w:r>
    </w:p>
    <w:p>
      <w:pPr>
        <w:pStyle w:val="ListParagraph"/>
        <w:numPr>
          <w:ilvl w:val="0"/>
          <w:numId w:val="2"/>
        </w:numPr>
        <w:spacing w:after="40" w:before="40"/>
      </w:pPr>
      <w:r>
        <w:t xml:space="preserve">Onze AI-algoritmen (in geanonimiseerde vorm) te verbeteren</w:t>
      </w:r>
    </w:p>
    <w:p>
      <w:pPr>
        <w:spacing w:after="60" w:before="120"/>
      </w:pPr>
      <w:r>
        <w:rPr>
          <w:b/>
          <w:bCs/>
          <w:sz w:val="24"/>
          <w:szCs w:val="24"/>
        </w:rPr>
        <w:t xml:space="preserve">6.2 Assessment-rapporten</w:t>
      </w:r>
    </w:p>
    <w:p>
      <w:pPr>
        <w:spacing w:after="80" w:before="80"/>
      </w:pPr>
      <w:r>
        <w:t xml:space="preserve">De voor jou gegenereerde rapporten zijn voor persoonlijk gebruik. Je mag deze rapporten niet herdistribueren, verkopen of commercieel exploiteren zonder onze schriftelijke toestemming.</w:t>
      </w:r>
    </w:p>
    <w:p>
      <w:pPr>
        <w:pStyle w:val="Heading1"/>
        <w:spacing w:after="120" w:before="240"/>
      </w:pPr>
      <w:r>
        <w:rPr>
          <w:b/>
          <w:bCs/>
          <w:sz w:val="32"/>
          <w:szCs w:val="32"/>
        </w:rPr>
        <w:t xml:space="preserve">7. Privacy en gegevensbescherming</w:t>
      </w:r>
    </w:p>
    <w:p>
      <w:pPr>
        <w:spacing w:after="80" w:before="80"/>
      </w:pPr>
      <w:r>
        <w:t xml:space="preserve">Privacy is belangrijk voor ons. Het verzamelen, gebruiken en beschermen van jouw persoonsgegevens is geregeld in onze Privacyverklaring, die door verwijzing onderdeel uitmaakt van deze Voorwaarden.</w:t>
      </w:r>
    </w:p>
    <w:p>
      <w:pPr>
        <w:spacing w:after="80" w:before="80"/>
      </w:pPr>
      <w:r>
        <w:t xml:space="preserve">Door onze diensten te gebruiken, stem je in met het verzamelen en gebruik van jouw gegevens zoals beschreven in onze Privacyverklaring.</w:t>
      </w:r>
    </w:p>
    <w:p>
      <w:pPr>
        <w:pStyle w:val="Heading1"/>
        <w:spacing w:after="120" w:before="240"/>
      </w:pPr>
      <w:r>
        <w:rPr>
          <w:b/>
          <w:bCs/>
          <w:sz w:val="32"/>
          <w:szCs w:val="32"/>
        </w:rPr>
        <w:t xml:space="preserve">8. Disclaimers en beperkingen</w:t>
      </w:r>
    </w:p>
    <w:p>
      <w:pPr>
        <w:spacing w:after="60" w:before="120"/>
      </w:pPr>
      <w:r>
        <w:rPr>
          <w:b/>
          <w:bCs/>
          <w:sz w:val="24"/>
          <w:szCs w:val="24"/>
        </w:rPr>
        <w:t xml:space="preserve">8.1 Dienstdisclaimers</w:t>
      </w:r>
    </w:p>
    <w:p>
      <w:pPr>
        <w:spacing w:after="80" w:before="80"/>
      </w:pPr>
      <w:r>
        <w:t xml:space="preserve">Cairnly biedt loopbaanbegeleiding en inzichten op basis van assessment-antwoorden. Onze diensten zijn:</w:t>
      </w:r>
    </w:p>
    <w:p>
      <w:pPr>
        <w:pStyle w:val="ListParagraph"/>
        <w:numPr>
          <w:ilvl w:val="0"/>
          <w:numId w:val="2"/>
        </w:numPr>
        <w:spacing w:after="40" w:before="40"/>
      </w:pPr>
      <w:r>
        <w:t xml:space="preserve">Uitsluitend bedoeld voor informatie en begeleiding</w:t>
      </w:r>
    </w:p>
    <w:p>
      <w:pPr>
        <w:pStyle w:val="ListParagraph"/>
        <w:numPr>
          <w:ilvl w:val="0"/>
          <w:numId w:val="2"/>
        </w:numPr>
        <w:spacing w:after="40" w:before="40"/>
      </w:pPr>
      <w:r>
        <w:t xml:space="preserve">Geen vervanging voor professionele loopbaanbegeleiding</w:t>
      </w:r>
    </w:p>
    <w:p>
      <w:pPr>
        <w:pStyle w:val="ListParagraph"/>
        <w:numPr>
          <w:ilvl w:val="0"/>
          <w:numId w:val="2"/>
        </w:numPr>
        <w:spacing w:after="40" w:before="40"/>
      </w:pPr>
      <w:r>
        <w:t xml:space="preserve">Geen garantie voor specifieke loopbaanuitkomsten</w:t>
      </w:r>
    </w:p>
    <w:p>
      <w:pPr>
        <w:pStyle w:val="ListParagraph"/>
        <w:numPr>
          <w:ilvl w:val="0"/>
          <w:numId w:val="2"/>
        </w:numPr>
        <w:spacing w:after="40" w:before="40"/>
      </w:pPr>
      <w:r>
        <w:t xml:space="preserve">Gebaseerd op AI-analyse die beperkingen kan hebben</w:t>
      </w:r>
    </w:p>
    <w:p>
      <w:pPr>
        <w:spacing w:after="60" w:before="120"/>
      </w:pPr>
      <w:r>
        <w:rPr>
          <w:b/>
          <w:bCs/>
          <w:sz w:val="24"/>
          <w:szCs w:val="24"/>
        </w:rPr>
        <w:t xml:space="preserve">8.2 Mededeling Beta-dienst</w:t>
      </w:r>
    </w:p>
    <w:p>
      <w:pPr>
        <w:spacing w:after="80" w:before="80"/>
      </w:pPr>
      <w:r>
        <w:t xml:space="preserve">Ons platform bevindt zich op dit moment in de Beta-fase. Dit betekent:</w:t>
      </w:r>
    </w:p>
    <w:p>
      <w:pPr>
        <w:pStyle w:val="ListParagraph"/>
        <w:numPr>
          <w:ilvl w:val="0"/>
          <w:numId w:val="2"/>
        </w:numPr>
        <w:spacing w:after="40" w:before="40"/>
      </w:pPr>
      <w:r>
        <w:t xml:space="preserve">Diensten kunnen worden aangepast of beëindigd</w:t>
      </w:r>
    </w:p>
    <w:p>
      <w:pPr>
        <w:pStyle w:val="ListParagraph"/>
        <w:numPr>
          <w:ilvl w:val="0"/>
          <w:numId w:val="2"/>
        </w:numPr>
        <w:spacing w:after="40" w:before="40"/>
      </w:pPr>
      <w:r>
        <w:t xml:space="preserve">Functies zijn mogelijk niet volledig ontwikkeld</w:t>
      </w:r>
    </w:p>
    <w:p>
      <w:pPr>
        <w:pStyle w:val="ListParagraph"/>
        <w:numPr>
          <w:ilvl w:val="0"/>
          <w:numId w:val="2"/>
        </w:numPr>
        <w:spacing w:after="40" w:before="40"/>
      </w:pPr>
      <w:r>
        <w:t xml:space="preserve">Incidentele uitval of technische problemen kunnen voorkomen</w:t>
      </w:r>
    </w:p>
    <w:p>
      <w:pPr>
        <w:pStyle w:val="ListParagraph"/>
        <w:numPr>
          <w:ilvl w:val="0"/>
          <w:numId w:val="2"/>
        </w:numPr>
        <w:spacing w:after="40" w:before="40"/>
      </w:pPr>
      <w:r>
        <w:t xml:space="preserve">Back-up- en herstelprocedures zijn aanwezig, maar niet gegarandeerd</w:t>
      </w:r>
    </w:p>
    <w:p>
      <w:pPr>
        <w:spacing w:after="60" w:before="120"/>
      </w:pPr>
      <w:r>
        <w:rPr>
          <w:b/>
          <w:bCs/>
          <w:sz w:val="24"/>
          <w:szCs w:val="24"/>
        </w:rPr>
        <w:t xml:space="preserve">8.3 Beperking van aansprakelijkheid</w:t>
      </w:r>
    </w:p>
    <w:p>
      <w:pPr>
        <w:spacing w:after="80" w:before="80"/>
      </w:pPr>
      <w:r>
        <w:t xml:space="preserve">Voor zover wettelijk toegestaan, is Cairnly niet aansprakelijk voor indirecte, incidentele, bijzondere, gevolg- of punitieve schade, waaronder maar niet beperkt tot verlies van winst, gegevens of zakelijke kansen, voortvloeiend uit jouw gebruik van onze diensten. Niets in deze Voorwaarden beperkt aansprakelijkheid die op grond van dwingend recht niet kan worden uitgesloten, waaronder consumentenrecht.</w:t>
      </w:r>
    </w:p>
    <w:p>
      <w:pPr>
        <w:pStyle w:val="Heading1"/>
        <w:spacing w:after="120" w:before="240"/>
      </w:pPr>
      <w:r>
        <w:rPr>
          <w:b/>
          <w:bCs/>
          <w:sz w:val="32"/>
          <w:szCs w:val="32"/>
        </w:rPr>
        <w:t xml:space="preserve">9. Integraties met derden</w:t>
      </w:r>
    </w:p>
    <w:p>
      <w:pPr>
        <w:spacing w:after="80" w:before="80"/>
      </w:pPr>
      <w:r>
        <w:t xml:space="preserve">Ons platform kan integreren met diensten van derden, zoals LinkedIn. Deze integraties vallen onder de voorwaarden en privacyverklaringen van de betreffende derden. Wij zijn niet verantwoordelijk voor de praktijken of inhoud van deze diensten van derden.</w:t>
      </w:r>
    </w:p>
    <w:p>
      <w:pPr>
        <w:spacing w:after="80" w:before="80"/>
      </w:pPr>
      <w:r>
        <w:t xml:space="preserve">Je kunt integraties met derden op elk moment loskoppelen via jouw profielinstellingen.</w:t>
      </w:r>
    </w:p>
    <w:p>
      <w:pPr>
        <w:pStyle w:val="Heading1"/>
        <w:spacing w:after="120" w:before="240"/>
      </w:pPr>
      <w:r>
        <w:rPr>
          <w:b/>
          <w:bCs/>
          <w:sz w:val="32"/>
          <w:szCs w:val="32"/>
        </w:rPr>
        <w:t xml:space="preserve">10. Beëindiging</w:t>
      </w:r>
    </w:p>
    <w:p>
      <w:pPr>
        <w:spacing w:after="80" w:before="80"/>
      </w:pPr>
      <w:r>
        <w:t xml:space="preserve">Wij mogen jouw account en de toegang tot onze diensten naar eigen inzicht beëindigen of opschorten, zonder voorafgaande kennisgeving, bij gedrag waarvan wij redelijkerwijs menen dat dit:</w:t>
      </w:r>
    </w:p>
    <w:p>
      <w:pPr>
        <w:pStyle w:val="ListParagraph"/>
        <w:numPr>
          <w:ilvl w:val="0"/>
          <w:numId w:val="2"/>
        </w:numPr>
        <w:spacing w:after="40" w:before="40"/>
      </w:pPr>
      <w:r>
        <w:t xml:space="preserve">In strijd is met deze Algemene Voorwaarden</w:t>
      </w:r>
    </w:p>
    <w:p>
      <w:pPr>
        <w:pStyle w:val="ListParagraph"/>
        <w:numPr>
          <w:ilvl w:val="0"/>
          <w:numId w:val="2"/>
        </w:numPr>
        <w:spacing w:after="40" w:before="40"/>
      </w:pPr>
      <w:r>
        <w:t xml:space="preserve">Schadelijk is voor andere gebruikers of onze onderneming</w:t>
      </w:r>
    </w:p>
    <w:p>
      <w:pPr>
        <w:pStyle w:val="ListParagraph"/>
        <w:numPr>
          <w:ilvl w:val="0"/>
          <w:numId w:val="2"/>
        </w:numPr>
        <w:spacing w:after="40" w:before="40"/>
      </w:pPr>
      <w:r>
        <w:t xml:space="preserve">In strijd is met geldende wet- en regelgeving</w:t>
      </w:r>
    </w:p>
    <w:p>
      <w:pPr>
        <w:spacing w:after="80" w:before="80"/>
      </w:pPr>
      <w:r>
        <w:t xml:space="preserve">Je kunt jouw account op elk moment beëindigen via jouw profielinstellingen of door contact met ons op te nemen. Bij beëindiging vervalt jouw recht op gebruik van de dienst onmiddellijk.</w:t>
      </w:r>
    </w:p>
    <w:p>
      <w:pPr>
        <w:pStyle w:val="Heading1"/>
        <w:spacing w:after="120" w:before="240"/>
      </w:pPr>
      <w:r>
        <w:rPr>
          <w:b/>
          <w:bCs/>
          <w:sz w:val="32"/>
          <w:szCs w:val="32"/>
        </w:rPr>
        <w:t xml:space="preserve">11. Toepasselijk recht en geschillen</w:t>
      </w:r>
    </w:p>
    <w:p>
      <w:pPr>
        <w:spacing w:after="80" w:before="80"/>
      </w:pPr>
      <w:r>
        <w:t xml:space="preserve">Op deze Voorwaarden is Nederlands recht van toepassing, met uitsluiting van conflictenrechtelijke bepalingen. Als je consument bent met woonplaats in de Europese Unie, behoud je de bescherming van de dwingendrechtelijke consumentenregels van jouw woonland.</w:t>
      </w:r>
    </w:p>
    <w:p>
      <w:pPr>
        <w:spacing w:after="80" w:before="80"/>
      </w:pPr>
      <w:r>
        <w:t xml:space="preserve">Heb je een klacht, neem dan eerst contact met ons op via legal@cairnly.io zodat we deze rechtstreeks proberen op te lossen. Wij streven naar een reactie binnen tien (10) werkdagen.</w:t>
      </w:r>
    </w:p>
    <w:p>
      <w:pPr>
        <w:spacing w:after="80" w:before="80"/>
      </w:pPr>
      <w:r>
        <w:t xml:space="preserve">Lukt het ons niet om de zaak op te lossen, dan kun je een procedure aanhangig maken bij de bevoegde rechter te Utrecht, Nederland. Als consument kun je daarnaast een procedure aanhangig maken bij de bevoegde rechter van de EU-lidstaat waarin je woont.</w:t>
      </w:r>
    </w:p>
    <w:p>
      <w:pPr>
        <w:spacing w:after="80" w:before="80"/>
      </w:pPr>
      <w:r>
        <w:t xml:space="preserve">EU-consumenten kunnen daarnaast gebruikmaken van het ODR-platform van de Europese Commissie op https://ec.europa.eu/consumers/odr om een geschil buitengerechtelijk te beslechten.</w:t>
      </w:r>
    </w:p>
    <w:p>
      <w:pPr>
        <w:pStyle w:val="Heading1"/>
        <w:spacing w:after="120" w:before="240"/>
      </w:pPr>
      <w:r>
        <w:rPr>
          <w:b/>
          <w:bCs/>
          <w:sz w:val="32"/>
          <w:szCs w:val="32"/>
        </w:rPr>
        <w:t xml:space="preserve">12. Wijzigingen van de Voorwaarden</w:t>
      </w:r>
    </w:p>
    <w:p>
      <w:pPr>
        <w:spacing w:after="80" w:before="80"/>
      </w:pPr>
      <w:r>
        <w:t xml:space="preserve">Wij behouden ons het recht voor om deze Voorwaarden op elk moment te wijzigen. Wij informeren gebruikers over materiële wijzigingen door:</w:t>
      </w:r>
    </w:p>
    <w:p>
      <w:pPr>
        <w:pStyle w:val="ListParagraph"/>
        <w:numPr>
          <w:ilvl w:val="0"/>
          <w:numId w:val="2"/>
        </w:numPr>
        <w:spacing w:after="40" w:before="40"/>
      </w:pPr>
      <w:r>
        <w:t xml:space="preserve">De bijgewerkte Voorwaarden op onze website te plaatsen</w:t>
      </w:r>
    </w:p>
    <w:p>
      <w:pPr>
        <w:pStyle w:val="ListParagraph"/>
        <w:numPr>
          <w:ilvl w:val="0"/>
          <w:numId w:val="2"/>
        </w:numPr>
        <w:spacing w:after="40" w:before="40"/>
      </w:pPr>
      <w:r>
        <w:t xml:space="preserve">De “Laatst bijgewerkt”-datum aan te passen</w:t>
      </w:r>
    </w:p>
    <w:p>
      <w:pPr>
        <w:pStyle w:val="ListParagraph"/>
        <w:numPr>
          <w:ilvl w:val="0"/>
          <w:numId w:val="2"/>
        </w:numPr>
        <w:spacing w:after="40" w:before="40"/>
      </w:pPr>
      <w:r>
        <w:t xml:space="preserve">E-mailmeldingen te versturen bij belangrijke wijzigingen</w:t>
      </w:r>
    </w:p>
    <w:p>
      <w:pPr>
        <w:spacing w:after="80" w:before="80"/>
      </w:pPr>
      <w:r>
        <w:t xml:space="preserve">Jouw voortgezette gebruik van onze diensten na inwerkingtreding van wijzigingen geldt als aanvaarding van de gewijzigde Voorwaarden.</w:t>
      </w:r>
    </w:p>
    <w:p>
      <w:pPr>
        <w:pStyle w:val="Heading1"/>
        <w:spacing w:after="120" w:before="240"/>
      </w:pPr>
      <w:r>
        <w:rPr>
          <w:b/>
          <w:bCs/>
          <w:sz w:val="32"/>
          <w:szCs w:val="32"/>
        </w:rPr>
        <w:t xml:space="preserve">13. Deelbaarheid</w:t>
      </w:r>
    </w:p>
    <w:p>
      <w:pPr>
        <w:spacing w:after="80" w:before="80"/>
      </w:pPr>
      <w:r>
        <w:t xml:space="preserve">Als een bepaling van deze Voorwaarden ongeldig of niet-afdwingbaar wordt geacht, blijven de overige bepalingen onverminderd van kracht. De ongeldige bepaling wordt vervangen door een geldige bepaling die de bedoeling van de oorspronkelijke bepaling zo dicht mogelijk benadert.</w:t>
      </w:r>
    </w:p>
    <w:p>
      <w:pPr>
        <w:pStyle w:val="Heading1"/>
        <w:spacing w:after="120" w:before="240"/>
      </w:pPr>
      <w:r>
        <w:rPr>
          <w:b/>
          <w:bCs/>
          <w:sz w:val="32"/>
          <w:szCs w:val="32"/>
        </w:rPr>
        <w:t xml:space="preserve">14. Volledige overeenkomst</w:t>
      </w:r>
    </w:p>
    <w:p>
      <w:pPr>
        <w:spacing w:after="80" w:before="80"/>
      </w:pPr>
      <w:r>
        <w:t xml:space="preserve">Deze Voorwaarden vormen, samen met onze Privacyverklaring en, indien van toepassing, de Voorwaarden Referral Programma, de volledige overeenkomst tussen jou en Cairnly met betrekking tot het gebruik van onze diensten en treden in de plaats van alle eerdere overeenkomsten en afspraken.</w:t>
      </w:r>
    </w:p>
    <w:p>
      <w:pPr>
        <w:pStyle w:val="Heading1"/>
        <w:spacing w:after="120" w:before="240"/>
      </w:pPr>
      <w:r>
        <w:rPr>
          <w:b/>
          <w:bCs/>
          <w:sz w:val="32"/>
          <w:szCs w:val="32"/>
        </w:rPr>
        <w:t xml:space="preserve">15. Contactgegevens</w:t>
      </w:r>
    </w:p>
    <w:p>
      <w:pPr>
        <w:spacing w:after="80" w:before="80"/>
      </w:pPr>
      <w:r>
        <w:t xml:space="preserve">Vragen over deze Algemene Voorwaarden? Neem contact met ons op:</w:t>
      </w:r>
    </w:p>
    <w:p>
      <w:pPr>
        <w:spacing w:after="80" w:before="80"/>
      </w:pPr>
      <w:r>
        <w:t xml:space="preserve">E-mail: legal@cairnly.io</w:t>
      </w:r>
    </w:p>
    <w:p>
      <w:pPr>
        <w:spacing w:after="80" w:before="80"/>
      </w:pPr>
      <w:r>
        <w:t xml:space="preserve">Support: info@cairnly.io</w:t>
      </w:r>
    </w:p>
    <w:p>
      <w:pPr>
        <w:spacing w:after="80" w:before="80"/>
      </w:pPr>
      <w:r>
        <w:t xml:space="preserve">Adres: Human in the Loop B.V., handelend onder de naam Cairnly, Utrecht, Nederland</w:t>
      </w:r>
    </w:p>
    <w:p>
      <w:pPr>
        <w:spacing w:after="80" w:before="80"/>
      </w:pPr>
      <w:r>
        <w:t xml:space="preserve">KvK: [invullen]   |   Btw: [invullen]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1F1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2026-05-30T12:03:29.786Z</dcterms:created>
  <dcterms:modified xsi:type="dcterms:W3CDTF">2026-05-30T12:03:29.787Z</dcterms:modified>
</cp:coreProperties>
</file>

<file path=docProps/custom.xml><?xml version="1.0" encoding="utf-8"?>
<Properties xmlns="http://schemas.openxmlformats.org/officeDocument/2006/custom-properties" xmlns:vt="http://schemas.openxmlformats.org/officeDocument/2006/docPropsVTypes"/>
</file>