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Privacyverklaring</w:t>
      </w:r>
    </w:p>
    <w:p>
      <w:pPr>
        <w:spacing w:after="240"/>
      </w:pPr>
      <w:r>
        <w:rPr>
          <w:i/>
          <w:iCs/>
          <w:color w:val="666666"/>
          <w:sz w:val="20"/>
          <w:szCs w:val="20"/>
        </w:rPr>
        <w:t xml:space="preserve">Laatst bijgewerkt: </w:t>
      </w:r>
      <w:r>
        <w:rPr>
          <w:i/>
          <w:iCs/>
          <w:color w:val="666666"/>
          <w:sz w:val="20"/>
          <w:szCs w:val="20"/>
        </w:rPr>
        <w:t xml:space="preserve">[datum invullen]</w:t>
      </w:r>
    </w:p>
    <w:p>
      <w:pPr>
        <w:pStyle w:val="Heading1"/>
        <w:spacing w:after="120" w:before="240"/>
      </w:pPr>
      <w:r>
        <w:rPr>
          <w:b/>
          <w:bCs/>
          <w:sz w:val="32"/>
          <w:szCs w:val="32"/>
        </w:rPr>
        <w:t xml:space="preserve">1. Inleiding</w:t>
      </w:r>
    </w:p>
    <w:p>
      <w:pPr>
        <w:spacing w:after="80" w:before="80"/>
      </w:pPr>
      <w:r>
        <w:t xml:space="preserve">Cairnly (“wij”, “ons”, “onze”), een handelsnaam van Human in the Loop B.V., exploiteert het Cairnly-platform. Deze Privacyverklaring legt uit hoe wij jouw persoonsgegevens verzamelen, gebruiken, verwerken en beschermen wanneer je gebruikmaakt van onze carrière-assessmentdiensten.</w:t>
      </w:r>
    </w:p>
    <w:p>
      <w:pPr>
        <w:spacing w:after="80" w:before="80"/>
      </w:pPr>
      <w:r>
        <w:t xml:space="preserve">Door gebruik te maken van onze diensten ga je akkoord met het verzamelen en gebruik van gegevens zoals beschreven in deze Privacyverklaring.</w:t>
      </w:r>
    </w:p>
    <w:p>
      <w:pPr>
        <w:pStyle w:val="Heading1"/>
        <w:spacing w:after="120" w:before="240"/>
      </w:pPr>
      <w:r>
        <w:rPr>
          <w:b/>
          <w:bCs/>
          <w:sz w:val="32"/>
          <w:szCs w:val="32"/>
        </w:rPr>
        <w:t xml:space="preserve">2. Welke gegevens verzamelen wij?</w:t>
      </w:r>
    </w:p>
    <w:p>
      <w:pPr>
        <w:spacing w:after="60" w:before="120"/>
      </w:pPr>
      <w:r>
        <w:rPr>
          <w:b/>
          <w:bCs/>
          <w:sz w:val="24"/>
          <w:szCs w:val="24"/>
        </w:rPr>
        <w:t xml:space="preserve">2.1 Persoonsgegevens</w:t>
      </w:r>
    </w:p>
    <w:p>
      <w:pPr>
        <w:pStyle w:val="ListParagraph"/>
        <w:numPr>
          <w:ilvl w:val="0"/>
          <w:numId w:val="2"/>
        </w:numPr>
        <w:spacing w:after="40" w:before="40"/>
      </w:pPr>
      <w:r>
        <w:t xml:space="preserve">Naam, e-mailadres en contactgegevens</w:t>
      </w:r>
    </w:p>
    <w:p>
      <w:pPr>
        <w:pStyle w:val="ListParagraph"/>
        <w:numPr>
          <w:ilvl w:val="0"/>
          <w:numId w:val="2"/>
        </w:numPr>
        <w:spacing w:after="40" w:before="40"/>
      </w:pPr>
      <w:r>
        <w:t xml:space="preserve">Professionele gegevens (functie, werkgever, branche)</w:t>
      </w:r>
    </w:p>
    <w:p>
      <w:pPr>
        <w:pStyle w:val="ListParagraph"/>
        <w:numPr>
          <w:ilvl w:val="0"/>
          <w:numId w:val="2"/>
        </w:numPr>
        <w:spacing w:after="40" w:before="40"/>
      </w:pPr>
      <w:r>
        <w:t xml:space="preserve">Demografische gegevens (leeftijdscategorie, locatie, voornaamwoorden)</w:t>
      </w:r>
    </w:p>
    <w:p>
      <w:pPr>
        <w:pStyle w:val="ListParagraph"/>
        <w:numPr>
          <w:ilvl w:val="0"/>
          <w:numId w:val="2"/>
        </w:numPr>
        <w:spacing w:after="40" w:before="40"/>
      </w:pPr>
      <w:r>
        <w:t xml:space="preserve">LinkedIn-profielgegevens (wanneer je jouw LinkedIn-account koppelt)</w:t>
      </w:r>
    </w:p>
    <w:p>
      <w:pPr>
        <w:pStyle w:val="ListParagraph"/>
        <w:numPr>
          <w:ilvl w:val="0"/>
          <w:numId w:val="2"/>
        </w:numPr>
        <w:spacing w:after="40" w:before="40"/>
      </w:pPr>
      <w:r>
        <w:t xml:space="preserve">Cv- en resume-informatie</w:t>
      </w:r>
    </w:p>
    <w:p>
      <w:pPr>
        <w:pStyle w:val="ListParagraph"/>
        <w:numPr>
          <w:ilvl w:val="0"/>
          <w:numId w:val="2"/>
        </w:numPr>
        <w:spacing w:after="40" w:before="40"/>
      </w:pPr>
      <w:r>
        <w:t xml:space="preserve">Referral-relaties (wie jou heeft uitgenodigd voor Cairnly en eventueel door jou uitgenodigde gebruikers)</w:t>
      </w:r>
    </w:p>
    <w:p>
      <w:pPr>
        <w:spacing w:after="60" w:before="120"/>
      </w:pPr>
      <w:r>
        <w:rPr>
          <w:b/>
          <w:bCs/>
          <w:sz w:val="24"/>
          <w:szCs w:val="24"/>
        </w:rPr>
        <w:t xml:space="preserve">2.2 Assessment-gegevens</w:t>
      </w:r>
    </w:p>
    <w:p>
      <w:pPr>
        <w:pStyle w:val="ListParagraph"/>
        <w:numPr>
          <w:ilvl w:val="0"/>
          <w:numId w:val="2"/>
        </w:numPr>
        <w:spacing w:after="40" w:before="40"/>
      </w:pPr>
      <w:r>
        <w:t xml:space="preserve">Antwoorden op assessment-vragen</w:t>
      </w:r>
    </w:p>
    <w:p>
      <w:pPr>
        <w:pStyle w:val="ListParagraph"/>
        <w:numPr>
          <w:ilvl w:val="0"/>
          <w:numId w:val="2"/>
        </w:numPr>
        <w:spacing w:after="40" w:before="40"/>
      </w:pPr>
      <w:r>
        <w:t xml:space="preserve">Loopbaanvoorkeuren en -doelen</w:t>
      </w:r>
    </w:p>
    <w:p>
      <w:pPr>
        <w:pStyle w:val="ListParagraph"/>
        <w:numPr>
          <w:ilvl w:val="0"/>
          <w:numId w:val="2"/>
        </w:numPr>
        <w:spacing w:after="40" w:before="40"/>
      </w:pPr>
      <w:r>
        <w:t xml:space="preserve">Vaardigheden- en competentie-evaluaties</w:t>
      </w:r>
    </w:p>
    <w:p>
      <w:pPr>
        <w:pStyle w:val="ListParagraph"/>
        <w:numPr>
          <w:ilvl w:val="0"/>
          <w:numId w:val="2"/>
        </w:numPr>
        <w:spacing w:after="40" w:before="40"/>
      </w:pPr>
      <w:r>
        <w:t xml:space="preserve">Persoonlijkheids- en gedragsinzichten</w:t>
      </w:r>
    </w:p>
    <w:p>
      <w:pPr>
        <w:spacing w:after="60" w:before="120"/>
      </w:pPr>
      <w:r>
        <w:rPr>
          <w:b/>
          <w:bCs/>
          <w:sz w:val="24"/>
          <w:szCs w:val="24"/>
        </w:rPr>
        <w:t xml:space="preserve">2.3 Technische gegevens</w:t>
      </w:r>
    </w:p>
    <w:p>
      <w:pPr>
        <w:pStyle w:val="ListParagraph"/>
        <w:numPr>
          <w:ilvl w:val="0"/>
          <w:numId w:val="2"/>
        </w:numPr>
        <w:spacing w:after="40" w:before="40"/>
      </w:pPr>
      <w:r>
        <w:t xml:space="preserve">IP-adres en apparaatinformatie</w:t>
      </w:r>
    </w:p>
    <w:p>
      <w:pPr>
        <w:pStyle w:val="ListParagraph"/>
        <w:numPr>
          <w:ilvl w:val="0"/>
          <w:numId w:val="2"/>
        </w:numPr>
        <w:spacing w:after="40" w:before="40"/>
      </w:pPr>
      <w:r>
        <w:t xml:space="preserve">Browsertype en -versie</w:t>
      </w:r>
    </w:p>
    <w:p>
      <w:pPr>
        <w:pStyle w:val="ListParagraph"/>
        <w:numPr>
          <w:ilvl w:val="0"/>
          <w:numId w:val="2"/>
        </w:numPr>
        <w:spacing w:after="40" w:before="40"/>
      </w:pPr>
      <w:r>
        <w:t xml:space="preserve">Gebruiksanalyses en interactiegegevens</w:t>
      </w:r>
    </w:p>
    <w:p>
      <w:pPr>
        <w:pStyle w:val="ListParagraph"/>
        <w:numPr>
          <w:ilvl w:val="0"/>
          <w:numId w:val="2"/>
        </w:numPr>
        <w:spacing w:after="40" w:before="40"/>
      </w:pPr>
      <w:r>
        <w:t xml:space="preserve">Cookies en vergelijkbare technologieën</w:t>
      </w:r>
    </w:p>
    <w:p>
      <w:pPr>
        <w:pStyle w:val="Heading1"/>
        <w:spacing w:after="120" w:before="240"/>
      </w:pPr>
      <w:r>
        <w:rPr>
          <w:b/>
          <w:bCs/>
          <w:sz w:val="32"/>
          <w:szCs w:val="32"/>
        </w:rPr>
        <w:t xml:space="preserve">3. Hoe gebruiken wij jouw gegevens en op welke grondslag?</w:t>
      </w:r>
    </w:p>
    <w:p>
      <w:pPr>
        <w:spacing w:after="80" w:before="80"/>
      </w:pPr>
      <w:r>
        <w:t xml:space="preserve">Op grond van de AVG (artikel 6) verwerken wij jouw gegevens op basis van de volgende grondslagen:</w:t>
      </w:r>
    </w:p>
    <w:p>
      <w:pPr>
        <w:pStyle w:val="ListParagraph"/>
        <w:numPr>
          <w:ilvl w:val="0"/>
          <w:numId w:val="2"/>
        </w:numPr>
        <w:spacing w:after="40" w:before="40"/>
      </w:pPr>
      <w:r>
        <w:t xml:space="preserve">Uitvoering van de overeenkomst: het leveren van persoonlijke carrière-assessment en aanbevelingen, het genereren van loopbaanrapporten en het verwerken van betalingen</w:t>
      </w:r>
    </w:p>
    <w:p>
      <w:pPr>
        <w:pStyle w:val="ListParagraph"/>
        <w:numPr>
          <w:ilvl w:val="0"/>
          <w:numId w:val="2"/>
        </w:numPr>
        <w:spacing w:after="40" w:before="40"/>
      </w:pPr>
      <w:r>
        <w:t xml:space="preserve">Uitvoering van de overeenkomst: communicatie met jou over jouw assessment-resultaten en klantondersteuning</w:t>
      </w:r>
    </w:p>
    <w:p>
      <w:pPr>
        <w:pStyle w:val="ListParagraph"/>
        <w:numPr>
          <w:ilvl w:val="0"/>
          <w:numId w:val="2"/>
        </w:numPr>
        <w:spacing w:after="40" w:before="40"/>
      </w:pPr>
      <w:r>
        <w:t xml:space="preserve">Gerechtvaardigd belang: verbetering van onze assessment-methodologie, platformbetrouwbaarheid en fraudepreventie (onder meer ten behoeve van het Referral Programma)</w:t>
      </w:r>
    </w:p>
    <w:p>
      <w:pPr>
        <w:pStyle w:val="ListParagraph"/>
        <w:numPr>
          <w:ilvl w:val="0"/>
          <w:numId w:val="2"/>
        </w:numPr>
        <w:spacing w:after="40" w:before="40"/>
      </w:pPr>
      <w:r>
        <w:t xml:space="preserve">Wettelijke verplichting: voldoen aan geldende wetgeving en bescherming van onze rechten</w:t>
      </w:r>
    </w:p>
    <w:p>
      <w:pPr>
        <w:pStyle w:val="ListParagraph"/>
        <w:numPr>
          <w:ilvl w:val="0"/>
          <w:numId w:val="2"/>
        </w:numPr>
        <w:spacing w:after="40" w:before="40"/>
      </w:pPr>
      <w:r>
        <w:t xml:space="preserve">Toestemming: het versturen van marketingcommunicatie en optionele reminder-e-mails (je kunt je hiervoor op elk moment afmelden via jouw profielinstellingen)</w:t>
      </w:r>
    </w:p>
    <w:p>
      <w:pPr>
        <w:pStyle w:val="ListParagraph"/>
        <w:numPr>
          <w:ilvl w:val="0"/>
          <w:numId w:val="2"/>
        </w:numPr>
        <w:spacing w:after="40" w:before="40"/>
      </w:pPr>
      <w:r>
        <w:t xml:space="preserve">Toestemming (Journal-nieuwsbrief): als je je abonneert op de Cairnly Journal, bewaren wij jouw e-mailadres uitsluitend om drie tot vier uitgaven per jaar te versturen. We gebruiken een bevestigde double opt-in en voegen in elke e-mail een 1-klik afmeldlink toe.</w:t>
      </w:r>
    </w:p>
    <w:p>
      <w:pPr>
        <w:pStyle w:val="Heading1"/>
        <w:spacing w:after="120" w:before="240"/>
      </w:pPr>
      <w:r>
        <w:rPr>
          <w:b/>
          <w:bCs/>
          <w:sz w:val="32"/>
          <w:szCs w:val="32"/>
        </w:rPr>
        <w:t xml:space="preserve">4. LinkedIn-integratie</w:t>
      </w:r>
    </w:p>
    <w:p>
      <w:pPr>
        <w:spacing w:after="80" w:before="80"/>
      </w:pPr>
      <w:r>
        <w:t xml:space="preserve">Als je ervoor kiest om jouw LinkedIn-account te koppelen, hebben wij toegang tot beperkte profielinformatie om jouw assessment-ervaring te verbeteren:</w:t>
      </w:r>
    </w:p>
    <w:p>
      <w:pPr>
        <w:pStyle w:val="ListParagraph"/>
        <w:numPr>
          <w:ilvl w:val="0"/>
          <w:numId w:val="2"/>
        </w:numPr>
        <w:spacing w:after="40" w:before="40"/>
      </w:pPr>
      <w:r>
        <w:t xml:space="preserve">Basisprofielgegevens (naam, e-mailadres, huidige functie)</w:t>
      </w:r>
    </w:p>
    <w:p>
      <w:pPr>
        <w:pStyle w:val="ListParagraph"/>
        <w:numPr>
          <w:ilvl w:val="0"/>
          <w:numId w:val="2"/>
        </w:numPr>
        <w:spacing w:after="40" w:before="40"/>
      </w:pPr>
      <w:r>
        <w:t xml:space="preserve">Werkervaring en opleidingsgeschiedenis</w:t>
      </w:r>
    </w:p>
    <w:p>
      <w:pPr>
        <w:pStyle w:val="ListParagraph"/>
        <w:numPr>
          <w:ilvl w:val="0"/>
          <w:numId w:val="2"/>
        </w:numPr>
        <w:spacing w:after="40" w:before="40"/>
      </w:pPr>
      <w:r>
        <w:t xml:space="preserve">Vaardigheden en aanbevelingen</w:t>
      </w:r>
    </w:p>
    <w:p>
      <w:pPr>
        <w:spacing w:after="80" w:before="80"/>
      </w:pPr>
      <w:r>
        <w:t xml:space="preserve">Deze integratie is optioneel en kan op elk moment worden losgekoppeld via jouw profielinstellingen.</w:t>
      </w:r>
    </w:p>
    <w:p>
      <w:pPr>
        <w:pStyle w:val="Heading1"/>
        <w:spacing w:after="120" w:before="240"/>
      </w:pPr>
      <w:r>
        <w:rPr>
          <w:b/>
          <w:bCs/>
          <w:sz w:val="32"/>
          <w:szCs w:val="32"/>
        </w:rPr>
        <w:t xml:space="preserve">5. Delen en doorgifte van gegevens</w:t>
      </w:r>
    </w:p>
    <w:p>
      <w:pPr>
        <w:spacing w:after="80" w:before="80"/>
      </w:pPr>
      <w:r>
        <w:t xml:space="preserve">Wij verkopen jouw persoonsgegevens niet. Wij delen gegevens met de volgende verwerkers om ons platform te exploiteren:</w:t>
      </w:r>
    </w:p>
    <w:p>
      <w:pPr>
        <w:pStyle w:val="ListParagraph"/>
        <w:numPr>
          <w:ilvl w:val="0"/>
          <w:numId w:val="2"/>
        </w:numPr>
        <w:spacing w:after="40" w:before="40"/>
      </w:pPr>
      <w:r>
        <w:t xml:space="preserve">Supabase Inc. (EU/VS) — database-hosting, authenticatie en bestandsopslag</w:t>
      </w:r>
    </w:p>
    <w:p>
      <w:pPr>
        <w:pStyle w:val="ListParagraph"/>
        <w:numPr>
          <w:ilvl w:val="0"/>
          <w:numId w:val="2"/>
        </w:numPr>
        <w:spacing w:after="40" w:before="40"/>
      </w:pPr>
      <w:r>
        <w:t xml:space="preserve">n8n GmbH (Duitsland) — AI-ondersteunde assessment-analyse en het genereren van loopbaanrapporten</w:t>
      </w:r>
    </w:p>
    <w:p>
      <w:pPr>
        <w:pStyle w:val="ListParagraph"/>
        <w:numPr>
          <w:ilvl w:val="0"/>
          <w:numId w:val="2"/>
        </w:numPr>
        <w:spacing w:after="40" w:before="40"/>
      </w:pPr>
      <w:r>
        <w:t xml:space="preserve">Google LLC (VS, EU Data Privacy Framework) — tekstextractie uit cv’s via Gemini AI</w:t>
      </w:r>
    </w:p>
    <w:p>
      <w:pPr>
        <w:pStyle w:val="ListParagraph"/>
        <w:numPr>
          <w:ilvl w:val="0"/>
          <w:numId w:val="2"/>
        </w:numPr>
        <w:spacing w:after="40" w:before="40"/>
      </w:pPr>
      <w:r>
        <w:t xml:space="preserve">Stripe Inc. (VS, EU Data Privacy Framework) — betalingsverwerking, inclusief uitvoering van gedeeltelijke terugbetalingen in het kader van het Referral Programma</w:t>
      </w:r>
    </w:p>
    <w:p>
      <w:pPr>
        <w:pStyle w:val="ListParagraph"/>
        <w:numPr>
          <w:ilvl w:val="0"/>
          <w:numId w:val="2"/>
        </w:numPr>
        <w:spacing w:after="40" w:before="40"/>
      </w:pPr>
      <w:r>
        <w:t xml:space="preserve">Resend Inc. (VS) — verzending van transactionele e-mails</w:t>
      </w:r>
    </w:p>
    <w:p>
      <w:pPr>
        <w:pStyle w:val="ListParagraph"/>
        <w:numPr>
          <w:ilvl w:val="0"/>
          <w:numId w:val="2"/>
        </w:numPr>
        <w:spacing w:after="40" w:before="40"/>
      </w:pPr>
      <w:r>
        <w:t xml:space="preserve">Vercel Inc. (VS) — website-hosting en levering</w:t>
      </w:r>
    </w:p>
    <w:p>
      <w:pPr>
        <w:spacing w:after="80" w:before="80"/>
      </w:pPr>
      <w:r>
        <w:t xml:space="preserve">Wij kunnen daarnaast gegevens delen wanneer:</w:t>
      </w:r>
    </w:p>
    <w:p>
      <w:pPr>
        <w:pStyle w:val="ListParagraph"/>
        <w:numPr>
          <w:ilvl w:val="0"/>
          <w:numId w:val="2"/>
        </w:numPr>
        <w:spacing w:after="40" w:before="40"/>
      </w:pPr>
      <w:r>
        <w:t xml:space="preserve">Wettelijke verplichtingen: wanneer dit wettelijk vereist is of ter bescherming van onze rechten</w:t>
      </w:r>
    </w:p>
    <w:p>
      <w:pPr>
        <w:pStyle w:val="ListParagraph"/>
        <w:numPr>
          <w:ilvl w:val="0"/>
          <w:numId w:val="2"/>
        </w:numPr>
        <w:spacing w:after="40" w:before="40"/>
      </w:pPr>
      <w:r>
        <w:t xml:space="preserve">Bedrijfsovernames: bij fusies, overnames of verkoop van bedrijfsonderdelen</w:t>
      </w:r>
    </w:p>
    <w:p>
      <w:pPr>
        <w:pStyle w:val="ListParagraph"/>
        <w:numPr>
          <w:ilvl w:val="0"/>
          <w:numId w:val="2"/>
        </w:numPr>
        <w:spacing w:after="40" w:before="40"/>
      </w:pPr>
      <w:r>
        <w:t xml:space="preserve">Toestemming: met jouw uitdrukkelijke toestemming voor andere doeleinden</w:t>
      </w:r>
    </w:p>
    <w:p>
      <w:pPr>
        <w:pStyle w:val="Heading1"/>
        <w:spacing w:after="120" w:before="240"/>
      </w:pPr>
      <w:r>
        <w:rPr>
          <w:b/>
          <w:bCs/>
          <w:sz w:val="32"/>
          <w:szCs w:val="32"/>
        </w:rPr>
        <w:t xml:space="preserve">6. Beveiliging van gegevens</w:t>
      </w:r>
    </w:p>
    <w:p>
      <w:pPr>
        <w:spacing w:after="80" w:before="80"/>
      </w:pPr>
      <w:r>
        <w:t xml:space="preserve">Wij hanteren marktconforme beveiligingsmaatregelen om jouw persoonsgegevens te beschermen:</w:t>
      </w:r>
    </w:p>
    <w:p>
      <w:pPr>
        <w:pStyle w:val="ListParagraph"/>
        <w:numPr>
          <w:ilvl w:val="0"/>
          <w:numId w:val="2"/>
        </w:numPr>
        <w:spacing w:after="40" w:before="40"/>
      </w:pPr>
      <w:r>
        <w:t xml:space="preserve">Versleuteling van gegevens tijdens transport en opslag</w:t>
      </w:r>
    </w:p>
    <w:p>
      <w:pPr>
        <w:pStyle w:val="ListParagraph"/>
        <w:numPr>
          <w:ilvl w:val="0"/>
          <w:numId w:val="2"/>
        </w:numPr>
        <w:spacing w:after="40" w:before="40"/>
      </w:pPr>
      <w:r>
        <w:t xml:space="preserve">Beveiligde authenticatie en toegangscontrole</w:t>
      </w:r>
    </w:p>
    <w:p>
      <w:pPr>
        <w:pStyle w:val="ListParagraph"/>
        <w:numPr>
          <w:ilvl w:val="0"/>
          <w:numId w:val="2"/>
        </w:numPr>
        <w:spacing w:after="40" w:before="40"/>
      </w:pPr>
      <w:r>
        <w:t xml:space="preserve">Regelmatige beveiligingsbeoordelingen en updates</w:t>
      </w:r>
    </w:p>
    <w:p>
      <w:pPr>
        <w:pStyle w:val="ListParagraph"/>
        <w:numPr>
          <w:ilvl w:val="0"/>
          <w:numId w:val="2"/>
        </w:numPr>
        <w:spacing w:after="40" w:before="40"/>
      </w:pPr>
      <w:r>
        <w:t xml:space="preserve">Beperkte toegang tot persoonsgegevens op basis van need-to-know</w:t>
      </w:r>
    </w:p>
    <w:p>
      <w:pPr>
        <w:pStyle w:val="Heading1"/>
        <w:spacing w:after="120" w:before="240"/>
      </w:pPr>
      <w:r>
        <w:rPr>
          <w:b/>
          <w:bCs/>
          <w:sz w:val="32"/>
          <w:szCs w:val="32"/>
        </w:rPr>
        <w:t xml:space="preserve">7. Jouw rechten (AVG)</w:t>
      </w:r>
    </w:p>
    <w:p>
      <w:pPr>
        <w:spacing w:after="80" w:before="80"/>
      </w:pPr>
      <w:r>
        <w:t xml:space="preserve">Op grond van de AVG heb je de volgende rechten:</w:t>
      </w:r>
    </w:p>
    <w:p>
      <w:pPr>
        <w:pStyle w:val="ListParagraph"/>
        <w:numPr>
          <w:ilvl w:val="0"/>
          <w:numId w:val="2"/>
        </w:numPr>
        <w:spacing w:after="40" w:before="40"/>
      </w:pPr>
      <w:r>
        <w:t xml:space="preserve">Inzage: download een kopie van jouw persoonsgegevens via jouw profielinstellingen</w:t>
      </w:r>
    </w:p>
    <w:p>
      <w:pPr>
        <w:pStyle w:val="ListParagraph"/>
        <w:numPr>
          <w:ilvl w:val="0"/>
          <w:numId w:val="2"/>
        </w:numPr>
        <w:spacing w:after="40" w:before="40"/>
      </w:pPr>
      <w:r>
        <w:t xml:space="preserve">Rectificatie: werk jouw gegevens bij via jouw profielinstellingen</w:t>
      </w:r>
    </w:p>
    <w:p>
      <w:pPr>
        <w:pStyle w:val="ListParagraph"/>
        <w:numPr>
          <w:ilvl w:val="0"/>
          <w:numId w:val="2"/>
        </w:numPr>
        <w:spacing w:after="40" w:before="40"/>
      </w:pPr>
      <w:r>
        <w:t xml:space="preserve">Vergetelheid: verwijder jouw account en alle gegevens definitief via jouw profielinstellingen</w:t>
      </w:r>
    </w:p>
    <w:p>
      <w:pPr>
        <w:pStyle w:val="ListParagraph"/>
        <w:numPr>
          <w:ilvl w:val="0"/>
          <w:numId w:val="2"/>
        </w:numPr>
        <w:spacing w:after="40" w:before="40"/>
      </w:pPr>
      <w:r>
        <w:t xml:space="preserve">Overdraagbaarheid: exporteer jouw gegevens in een machine-leesbaar formaat (JSON) via jouw profielinstellingen</w:t>
      </w:r>
    </w:p>
    <w:p>
      <w:pPr>
        <w:pStyle w:val="ListParagraph"/>
        <w:numPr>
          <w:ilvl w:val="0"/>
          <w:numId w:val="2"/>
        </w:numPr>
        <w:spacing w:after="40" w:before="40"/>
      </w:pPr>
      <w:r>
        <w:t xml:space="preserve">Beperking: vraag beperking van de verwerking aan door contact op te nemen</w:t>
      </w:r>
    </w:p>
    <w:p>
      <w:pPr>
        <w:pStyle w:val="ListParagraph"/>
        <w:numPr>
          <w:ilvl w:val="0"/>
          <w:numId w:val="2"/>
        </w:numPr>
        <w:spacing w:after="40" w:before="40"/>
      </w:pPr>
      <w:r>
        <w:t xml:space="preserve">Bezwaar: maak bezwaar tegen verwerking door contact op te nemen</w:t>
      </w:r>
    </w:p>
    <w:p>
      <w:pPr>
        <w:pStyle w:val="ListParagraph"/>
        <w:numPr>
          <w:ilvl w:val="0"/>
          <w:numId w:val="2"/>
        </w:numPr>
        <w:spacing w:after="40" w:before="40"/>
      </w:pPr>
      <w:r>
        <w:t xml:space="preserve">Intrekken van toestemming: trek toestemming op elk moment in (bijvoorbeeld door reminder-e-mails uit te zetten via jouw profiel)</w:t>
      </w:r>
    </w:p>
    <w:p>
      <w:pPr>
        <w:spacing w:after="80" w:before="80"/>
      </w:pPr>
      <w:r>
        <w:t xml:space="preserve">Je kunt jouw rechten op inzage, export en verwijdering rechtstreeks uitoefenen via de pagina Profielinstellingen. Voor andere verzoeken kun je contact opnemen via privacy@cairnly.io.</w:t>
      </w:r>
    </w:p>
    <w:p>
      <w:pPr>
        <w:spacing w:after="60" w:before="120"/>
      </w:pPr>
      <w:r>
        <w:rPr>
          <w:b/>
          <w:bCs/>
          <w:sz w:val="24"/>
          <w:szCs w:val="24"/>
        </w:rPr>
        <w:t xml:space="preserve">7a. Geautomatiseerde besluitvorming</w:t>
      </w:r>
    </w:p>
    <w:p>
      <w:pPr>
        <w:spacing w:after="80" w:before="80"/>
      </w:pPr>
      <w:r>
        <w:t xml:space="preserve">Ons platform gebruikt AI om jouw assessment-antwoorden te analyseren en gepersonaliseerde loopbaanaanbevelingen te genereren. Dit omvat geautomatiseerde profilering van jouw persoonlijkheidskenmerken, vaardigheden en loopbaanvoorkeuren.</w:t>
      </w:r>
    </w:p>
    <w:p>
      <w:pPr>
        <w:spacing w:after="80" w:before="80"/>
      </w:pPr>
      <w:r>
        <w:t xml:space="preserve">Belangrijk: deze AI-aanbevelingen zijn uitsluitend adviserend en vormen geen bindende beslissingen over jouw loopbaan, werk of andere zaken. Je bent vrij om aanbevelingen op te volgen, aan te passen of te negeren.</w:t>
      </w:r>
    </w:p>
    <w:p>
      <w:pPr>
        <w:spacing w:after="80" w:before="80"/>
      </w:pPr>
      <w:r>
        <w:t xml:space="preserve">Op grond van artikel 22 AVG heb je het recht om menselijke beoordeling van een geautomatiseerd assessment aan te vragen. Neem hiervoor contact op via privacy@cairnly.io.</w:t>
      </w:r>
    </w:p>
    <w:p>
      <w:pPr>
        <w:pStyle w:val="Heading1"/>
        <w:spacing w:after="120" w:before="240"/>
      </w:pPr>
      <w:r>
        <w:rPr>
          <w:b/>
          <w:bCs/>
          <w:sz w:val="32"/>
          <w:szCs w:val="32"/>
        </w:rPr>
        <w:t xml:space="preserve">8. Bewaartermijnen</w:t>
      </w:r>
    </w:p>
    <w:p>
      <w:pPr>
        <w:spacing w:after="80" w:before="80"/>
      </w:pPr>
      <w:r>
        <w:t xml:space="preserve">Wij bewaren jouw persoonsgegevens tot maximaal 3 jaar na jouw laatste login, of zolang jouw account bestaat, afhankelijk van welke periode langer is. Je kunt jouw account en alle bijbehorende gegevens op elk moment verwijderen via jouw profielinstellingen. Na accountverwijdering worden alle persoonsgegevens binnen 30 dagen definitief verwijderd.</w:t>
      </w:r>
    </w:p>
    <w:p>
      <w:pPr>
        <w:spacing w:after="80" w:before="80"/>
      </w:pPr>
      <w:r>
        <w:t xml:space="preserve">Uitzondering voor fiscale en administratieve gegevens: gegevens over aankopen, betalingen, terugbetalingen (waaronder uitkeringen in het kader van het Referral Programma) en facturen bewaren wij voor de duur die op grond van de Nederlandse fiscale en boekhoudwetgeving is vereist (op dit moment zeven jaar), ook als je jouw account in de tussentijd verwijdert. Deze gegevens worden afgeschermd en uitsluitend gebruikt om aan onze wettelijke verplichtingen te voldoen.</w:t>
      </w:r>
    </w:p>
    <w:p>
      <w:pPr>
        <w:pStyle w:val="Heading1"/>
        <w:spacing w:after="120" w:before="240"/>
      </w:pPr>
      <w:r>
        <w:rPr>
          <w:b/>
          <w:bCs/>
          <w:sz w:val="32"/>
          <w:szCs w:val="32"/>
        </w:rPr>
        <w:t xml:space="preserve">9. Cookies en tracking</w:t>
      </w:r>
    </w:p>
    <w:p>
      <w:pPr>
        <w:spacing w:after="80" w:before="80"/>
      </w:pPr>
      <w:r>
        <w:t xml:space="preserve">Wij gebruiken uitsluitend essentiële cookies die nodig zijn voor het functioneren van het platform (authenticatie). Wij gebruiken geen analytische, tracking- of advertentie-cookies. Zie ons Cookiebeleid voor details.</w:t>
      </w:r>
    </w:p>
    <w:p>
      <w:pPr>
        <w:pStyle w:val="Heading1"/>
        <w:spacing w:after="120" w:before="240"/>
      </w:pPr>
      <w:r>
        <w:rPr>
          <w:b/>
          <w:bCs/>
          <w:sz w:val="32"/>
          <w:szCs w:val="32"/>
        </w:rPr>
        <w:t xml:space="preserve">10. Internationale gegevensoverdracht</w:t>
      </w:r>
    </w:p>
    <w:p>
      <w:pPr>
        <w:spacing w:after="80" w:before="80"/>
      </w:pPr>
      <w:r>
        <w:t xml:space="preserve">Sommige van onze dienstverleners verwerken gegevens buiten de EU/EER:</w:t>
      </w:r>
    </w:p>
    <w:p>
      <w:pPr>
        <w:pStyle w:val="ListParagraph"/>
        <w:numPr>
          <w:ilvl w:val="0"/>
          <w:numId w:val="2"/>
        </w:numPr>
        <w:spacing w:after="40" w:before="40"/>
      </w:pPr>
      <w:r>
        <w:t xml:space="preserve">n8n GmbH — Duitsland (EU, geen aanvullende doorgifte nodig)</w:t>
      </w:r>
    </w:p>
    <w:p>
      <w:pPr>
        <w:pStyle w:val="ListParagraph"/>
        <w:numPr>
          <w:ilvl w:val="0"/>
          <w:numId w:val="2"/>
        </w:numPr>
        <w:spacing w:after="40" w:before="40"/>
      </w:pPr>
      <w:r>
        <w:t xml:space="preserve">Supabase Inc. — EU-regio geselecteerd voor database-hosting</w:t>
      </w:r>
    </w:p>
    <w:p>
      <w:pPr>
        <w:pStyle w:val="ListParagraph"/>
        <w:numPr>
          <w:ilvl w:val="0"/>
          <w:numId w:val="2"/>
        </w:numPr>
        <w:spacing w:after="40" w:before="40"/>
      </w:pPr>
      <w:r>
        <w:t xml:space="preserve">Google LLC, Stripe Inc. — VS, gedekt door het EU–US Data Privacy Framework</w:t>
      </w:r>
    </w:p>
    <w:p>
      <w:pPr>
        <w:pStyle w:val="ListParagraph"/>
        <w:numPr>
          <w:ilvl w:val="0"/>
          <w:numId w:val="2"/>
        </w:numPr>
        <w:spacing w:after="40" w:before="40"/>
      </w:pPr>
      <w:r>
        <w:t xml:space="preserve">Resend Inc., Vercel Inc. — VS, gedekt door modelcontractbepalingen (Standard Contractual Clauses)</w:t>
      </w:r>
    </w:p>
    <w:p>
      <w:pPr>
        <w:spacing w:after="80" w:before="80"/>
      </w:pPr>
      <w:r>
        <w:t xml:space="preserve">Wij zorgen ervoor dat er voor alle internationale overdrachten passende waarborgen aanwezig zijn conform Hoofdstuk V van de AVG.</w:t>
      </w:r>
    </w:p>
    <w:p>
      <w:pPr>
        <w:pStyle w:val="Heading1"/>
        <w:spacing w:after="120" w:before="240"/>
      </w:pPr>
      <w:r>
        <w:rPr>
          <w:b/>
          <w:bCs/>
          <w:sz w:val="32"/>
          <w:szCs w:val="32"/>
        </w:rPr>
        <w:t xml:space="preserve">11. Wijzigingen van deze Privacyverklaring</w:t>
      </w:r>
    </w:p>
    <w:p>
      <w:pPr>
        <w:spacing w:after="80" w:before="80"/>
      </w:pPr>
      <w:r>
        <w:t xml:space="preserve">Wij kunnen deze Privacyverklaring van tijd tot tijd bijwerken. Bij materiële wijzigingen plaatsen wij de bijgewerkte Privacyverklaring op deze pagina en passen wij de “Laatst bijgewerkt”-datum aan.</w:t>
      </w:r>
    </w:p>
    <w:p>
      <w:pPr>
        <w:pStyle w:val="Heading1"/>
        <w:spacing w:after="120" w:before="240"/>
      </w:pPr>
      <w:r>
        <w:rPr>
          <w:b/>
          <w:bCs/>
          <w:sz w:val="32"/>
          <w:szCs w:val="32"/>
        </w:rPr>
        <w:t xml:space="preserve">12. Contact</w:t>
      </w:r>
    </w:p>
    <w:p>
      <w:pPr>
        <w:spacing w:after="80" w:before="80"/>
      </w:pPr>
      <w:r>
        <w:t xml:space="preserve">Heb je vragen over deze Privacyverklaring of wil je een van jouw rechten uitoefenen? Neem dan contact met ons op:</w:t>
      </w:r>
    </w:p>
    <w:p>
      <w:pPr>
        <w:spacing w:after="80" w:before="80"/>
      </w:pPr>
      <w:r>
        <w:t xml:space="preserve">E-mail: privacy@cairnly.io</w:t>
      </w:r>
    </w:p>
    <w:p>
      <w:pPr>
        <w:spacing w:after="80" w:before="80"/>
      </w:pPr>
      <w:r>
        <w:t xml:space="preserve">Adres: Cairnly, een handelsnaam van Human in the Loop B.V., Utrecht, Nederland</w:t>
      </w:r>
    </w:p>
    <w:p>
      <w:pPr>
        <w:spacing w:after="80" w:before="80"/>
      </w:pPr>
      <w:r>
        <w:t xml:space="preserve">Functionaris voor Gegevensbescherming (FG): dpo@cairnly.io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1F1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2026-05-30T12:04:34.659Z</dcterms:created>
  <dcterms:modified xsi:type="dcterms:W3CDTF">2026-05-30T12:04:34.659Z</dcterms:modified>
</cp:coreProperties>
</file>

<file path=docProps/custom.xml><?xml version="1.0" encoding="utf-8"?>
<Properties xmlns="http://schemas.openxmlformats.org/officeDocument/2006/custom-properties" xmlns:vt="http://schemas.openxmlformats.org/officeDocument/2006/docPropsVTypes"/>
</file>