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Voorwaarden Cairnly Referral Programma</w:t>
      </w:r>
    </w:p>
    <w:p>
      <w:pPr>
        <w:spacing w:after="240"/>
      </w:pPr>
      <w:r>
        <w:rPr>
          <w:i/>
          <w:iCs/>
          <w:color w:val="666666"/>
          <w:sz w:val="20"/>
          <w:szCs w:val="20"/>
        </w:rPr>
        <w:t xml:space="preserve">Laatst bijgewerkt: </w:t>
      </w:r>
      <w:r>
        <w:rPr>
          <w:i/>
          <w:iCs/>
          <w:color w:val="666666"/>
          <w:sz w:val="20"/>
          <w:szCs w:val="20"/>
        </w:rPr>
        <w:t xml:space="preserve">[datum invullen]</w:t>
      </w:r>
    </w:p>
    <w:p>
      <w:pPr>
        <w:spacing w:after="80" w:before="80"/>
      </w:pPr>
      <w:r>
        <w:t xml:space="preserve">Deze Voorwaarden Referral Programma (“Referral Voorwaarden”) regelen jouw deelname aan het Cairnly Referral Programma. Ze vormen een bindende overeenkomst tussen jou en Human in the Loop B.V., handelend onder de naam Cairnly, gevestigd te Utrecht, Nederland (“Cairnly”, “wij”, “ons” of “onze”).</w:t>
      </w:r>
    </w:p>
    <w:p>
      <w:pPr>
        <w:spacing w:after="80" w:before="80"/>
      </w:pPr>
      <w:r>
        <w:t xml:space="preserve">Deze Referral Voorwaarden vormen een aanvulling op, en gaan waar uitdrukkelijk vermeld vóór op, onze Algemene Voorwaarden. Termen met een hoofdletter die hier niet zijn gedefinieerd, hebben de betekenis die daaraan in de Algemene Voorwaarden is gegeven. Door jouw referral-code te gebruiken of anderszins aan het Referral Programma deel te nemen, accepteer je deze Referral Voorwaarden.</w:t>
      </w:r>
    </w:p>
    <w:p>
      <w:pPr>
        <w:pStyle w:val="Heading1"/>
        <w:spacing w:after="120" w:before="240"/>
      </w:pPr>
      <w:r>
        <w:rPr>
          <w:b/>
          <w:bCs/>
          <w:sz w:val="32"/>
          <w:szCs w:val="32"/>
        </w:rPr>
        <w:t xml:space="preserve">1. Wat is het Referral Programma?</w:t>
      </w:r>
    </w:p>
    <w:p>
      <w:pPr>
        <w:spacing w:after="80" w:before="80"/>
      </w:pPr>
      <w:r>
        <w:t xml:space="preserve">Het Cairnly Referral Programma stelt bestaande betalende Cairnly-gebruikers in staat om anderen uit te nodigen om Cairnly te gebruiken. Voor elke nieuwe gebruiker die via jouw unieke referral-code een betaald Cairnly-account aanmaakt, ontvang je een beloning. Beloningen bestaan uit extra platformfuncties en/of een gedeeltelijke terugbetaling van het bedrag dat je oorspronkelijk voor Cairnly hebt betaald.</w:t>
      </w:r>
    </w:p>
    <w:p>
      <w:pPr>
        <w:pStyle w:val="Heading1"/>
        <w:spacing w:after="120" w:before="240"/>
      </w:pPr>
      <w:r>
        <w:rPr>
          <w:b/>
          <w:bCs/>
          <w:sz w:val="32"/>
          <w:szCs w:val="32"/>
        </w:rPr>
        <w:t xml:space="preserve">2. Wie kan deelnemen?</w:t>
      </w:r>
    </w:p>
    <w:p>
      <w:pPr>
        <w:spacing w:after="80" w:before="80"/>
      </w:pPr>
      <w:r>
        <w:t xml:space="preserve">Je kunt deelnemen aan het Referral Programma als aan alle onderstaande voorwaarden is voldaan:</w:t>
      </w:r>
    </w:p>
    <w:p>
      <w:pPr>
        <w:pStyle w:val="ListParagraph"/>
        <w:numPr>
          <w:ilvl w:val="0"/>
          <w:numId w:val="2"/>
        </w:numPr>
        <w:spacing w:after="40" w:before="40"/>
      </w:pPr>
      <w:r>
        <w:t xml:space="preserve">Je hebt een betaald Cairnly-account aangeschaft tegen het standaardtarief (op dit moment EUR 59, of EUR 39 tijdens een lopende actie).</w:t>
      </w:r>
    </w:p>
    <w:p>
      <w:pPr>
        <w:pStyle w:val="ListParagraph"/>
        <w:numPr>
          <w:ilvl w:val="0"/>
          <w:numId w:val="2"/>
        </w:numPr>
        <w:spacing w:after="40" w:before="40"/>
      </w:pPr>
      <w:r>
        <w:t xml:space="preserve">Je bent 18 jaar of ouder.</w:t>
      </w:r>
    </w:p>
    <w:p>
      <w:pPr>
        <w:pStyle w:val="ListParagraph"/>
        <w:numPr>
          <w:ilvl w:val="0"/>
          <w:numId w:val="2"/>
        </w:numPr>
        <w:spacing w:after="40" w:before="40"/>
      </w:pPr>
      <w:r>
        <w:t xml:space="preserve">Jouw oorspronkelijke aankoop is minder dan zes (6) maanden geleden gedaan.</w:t>
      </w:r>
    </w:p>
    <w:p>
      <w:pPr>
        <w:pStyle w:val="ListParagraph"/>
        <w:numPr>
          <w:ilvl w:val="0"/>
          <w:numId w:val="2"/>
        </w:numPr>
        <w:spacing w:after="40" w:before="40"/>
      </w:pPr>
      <w:r>
        <w:t xml:space="preserve">Jouw account is in goede staat en is niet opgeschort of beëindigd.</w:t>
      </w:r>
    </w:p>
    <w:p>
      <w:pPr>
        <w:pStyle w:val="Heading1"/>
        <w:spacing w:after="120" w:before="240"/>
      </w:pPr>
      <w:r>
        <w:rPr>
          <w:b/>
          <w:bCs/>
          <w:sz w:val="32"/>
          <w:szCs w:val="32"/>
        </w:rPr>
        <w:t xml:space="preserve">3. Hoe werken de beloningen?</w:t>
      </w:r>
    </w:p>
    <w:p>
      <w:pPr>
        <w:spacing w:after="80" w:before="80"/>
      </w:pPr>
      <w:r>
        <w:t xml:space="preserve">Bij aankoop ontvang je een unieke referral-code. Wanneer iemand die jij uitnodigt zich aanmeldt voor Cairnly en de betaling voltooit met jouw code, telt dit als een Geldige Uitnodiging zodra aan de voorwaarden in artikel 4 is voldaan.</w:t>
      </w:r>
    </w:p>
    <w:p>
      <w:pPr>
        <w:spacing w:after="80" w:before="80"/>
      </w:pPr>
      <w:r>
        <w:t xml:space="preserve">Beloningen worden per Geldige Uitnodiging toegekend volgens onderstaand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2"/>
                <w:szCs w:val="22"/>
              </w:rPr>
              <w:t xml:space="preserve">Geldige uitnodiging #</w:t>
            </w:r>
          </w:p>
        </w:tc>
        <w:tc>
          <w:tcPr>
            <w:tcW w:type="dxa" w:w="3513"/>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2"/>
                <w:szCs w:val="22"/>
              </w:rPr>
              <w:t xml:space="preserve">Beloning</w:t>
            </w:r>
          </w:p>
        </w:tc>
        <w:tc>
          <w:tcPr>
            <w:tcW w:type="dxa" w:w="3513"/>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2"/>
                <w:szCs w:val="22"/>
              </w:rPr>
              <w:t xml:space="preserve">Type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w:t>
            </w:r>
          </w:p>
        </w:tc>
        <w:tc>
          <w:tcPr>
            <w:tcW w:type="dxa" w:w="35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Ontgrendelt: Find Job Openings</w:t>
            </w:r>
          </w:p>
        </w:tc>
        <w:tc>
          <w:tcPr>
            <w:tcW w:type="dxa" w:w="35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Permanente toegang tot tool</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2</w:t>
            </w:r>
          </w:p>
        </w:tc>
        <w:tc>
          <w:tcPr>
            <w:tcW w:type="dxa" w:w="35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Ontgrendelt: Tailor Your Resume</w:t>
            </w:r>
          </w:p>
        </w:tc>
        <w:tc>
          <w:tcPr>
            <w:tcW w:type="dxa" w:w="35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Permanente toegang tot tool</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3</w:t>
            </w:r>
          </w:p>
        </w:tc>
        <w:tc>
          <w:tcPr>
            <w:tcW w:type="dxa" w:w="35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Ontgrendelt: Tailor Cover Letters</w:t>
            </w:r>
          </w:p>
        </w:tc>
        <w:tc>
          <w:tcPr>
            <w:tcW w:type="dxa" w:w="35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Permanente toegang tot tool</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4</w:t>
            </w:r>
          </w:p>
        </w:tc>
        <w:tc>
          <w:tcPr>
            <w:tcW w:type="dxa" w:w="35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25% van jouw aankoopprijs</w:t>
            </w:r>
          </w:p>
        </w:tc>
        <w:tc>
          <w:tcPr>
            <w:tcW w:type="dxa" w:w="35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Gedeeltelijke terugbetaling</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5</w:t>
            </w:r>
          </w:p>
        </w:tc>
        <w:tc>
          <w:tcPr>
            <w:tcW w:type="dxa" w:w="35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25% van jouw aankoopprijs</w:t>
            </w:r>
          </w:p>
        </w:tc>
        <w:tc>
          <w:tcPr>
            <w:tcW w:type="dxa" w:w="35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Gedeeltelijke terugbetaling</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6</w:t>
            </w:r>
          </w:p>
        </w:tc>
        <w:tc>
          <w:tcPr>
            <w:tcW w:type="dxa" w:w="35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50% van jouw aankoopprijs</w:t>
            </w:r>
          </w:p>
        </w:tc>
        <w:tc>
          <w:tcPr>
            <w:tcW w:type="dxa" w:w="35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Gedeeltelijke terugbetaling (cap bereikt)</w:t>
            </w:r>
          </w:p>
        </w:tc>
      </w:tr>
    </w:tbl>
    <w:p>
      <w:pPr>
        <w:spacing w:after="80" w:before="80"/>
      </w:pPr>
      <w:r>
        <w:t xml:space="preserve"/>
      </w:r>
    </w:p>
    <w:p>
      <w:pPr>
        <w:spacing w:after="80" w:before="80"/>
      </w:pPr>
      <w:r>
        <w:t xml:space="preserve">De totale geldelijke beloning die je via het Referral Programma kunt ontvangen, is gemaximeerd op honderd procent (100%) van het bedrag dat je oorspronkelijk voor jouw Cairnly-account hebt betaald. Zodra deze cap is bereikt, worden geen verdere gedeeltelijke terugbetalingen meer uitgekeerd, ook niet bij aanvullende Geldige Uitnodigingen. Permanente ontgrendelingen van functies (uitnodiging 1 tot en met 3) blijven behouden, ongeacht de cap.</w:t>
      </w:r>
    </w:p>
    <w:p>
      <w:pPr>
        <w:spacing w:after="80" w:before="80"/>
      </w:pPr>
      <w:r>
        <w:t xml:space="preserve">De gedeeltelijke terugbetalingen zoals omschreven in dit artikel 3 worden uitgekeerd als een terugwerkende verlaging van jouw oorspronkelijke aankoopprijs voor Cairnly. Het betreft geen provisie, prijs of vergoeding voor verrichte diensten.</w:t>
      </w:r>
    </w:p>
    <w:p>
      <w:pPr>
        <w:pStyle w:val="Heading1"/>
        <w:spacing w:after="120" w:before="240"/>
      </w:pPr>
      <w:r>
        <w:rPr>
          <w:b/>
          <w:bCs/>
          <w:sz w:val="32"/>
          <w:szCs w:val="32"/>
        </w:rPr>
        <w:t xml:space="preserve">4. Wanneer is een uitnodiging “Geldig”?</w:t>
      </w:r>
    </w:p>
    <w:p>
      <w:pPr>
        <w:spacing w:after="80" w:before="80"/>
      </w:pPr>
      <w:r>
        <w:t xml:space="preserve">Een uitnodiging wordt een Geldige Uitnodiging wanneer aan alle onderstaande voorwaarden is voldaan:</w:t>
      </w:r>
    </w:p>
    <w:p>
      <w:pPr>
        <w:pStyle w:val="ListParagraph"/>
        <w:numPr>
          <w:ilvl w:val="0"/>
          <w:numId w:val="2"/>
        </w:numPr>
        <w:spacing w:after="40" w:before="40"/>
      </w:pPr>
      <w:r>
        <w:t xml:space="preserve">De uitgenodigde persoon heeft via jouw unieke referral-code een betaald Cairnly-account aangemaakt.</w:t>
      </w:r>
    </w:p>
    <w:p>
      <w:pPr>
        <w:pStyle w:val="ListParagraph"/>
        <w:numPr>
          <w:ilvl w:val="0"/>
          <w:numId w:val="2"/>
        </w:numPr>
        <w:spacing w:after="40" w:before="40"/>
      </w:pPr>
      <w:r>
        <w:t xml:space="preserve">De uitgenodigde persoon heeft de volledige aankoopprijs betaald.</w:t>
      </w:r>
    </w:p>
    <w:p>
      <w:pPr>
        <w:pStyle w:val="ListParagraph"/>
        <w:numPr>
          <w:ilvl w:val="0"/>
          <w:numId w:val="2"/>
        </w:numPr>
        <w:spacing w:after="40" w:before="40"/>
      </w:pPr>
      <w:r>
        <w:t xml:space="preserve">Er zijn veertien (14) dagen verstreken sinds die betaling, waarin de uitgenodigde persoon geen gebruik heeft gemaakt van het wettelijke herroepingsrecht onder de EU-richtlijn consumentenrechten.</w:t>
      </w:r>
    </w:p>
    <w:p>
      <w:pPr>
        <w:pStyle w:val="ListParagraph"/>
        <w:numPr>
          <w:ilvl w:val="0"/>
          <w:numId w:val="2"/>
        </w:numPr>
        <w:spacing w:after="40" w:before="40"/>
      </w:pPr>
      <w:r>
        <w:t xml:space="preserve">De uitgenodigde persoon heeft geen chargeback, geschil of andere terugdraaiing van zijn of haar betaling ingediend.</w:t>
      </w:r>
    </w:p>
    <w:p>
      <w:pPr>
        <w:spacing w:after="80" w:before="80"/>
      </w:pPr>
      <w:r>
        <w:t xml:space="preserve">Jouw beloning wordt automatisch geactiveerd of uitgekeerd zodra aan al deze voorwaarden is voldaan. Cairnly mag een uitkering naar eigen redelijke inzicht uitstellen wanneer aanvullende verificatie nodig is.</w:t>
      </w:r>
    </w:p>
    <w:p>
      <w:pPr>
        <w:pStyle w:val="Heading1"/>
        <w:spacing w:after="120" w:before="240"/>
      </w:pPr>
      <w:r>
        <w:rPr>
          <w:b/>
          <w:bCs/>
          <w:sz w:val="32"/>
          <w:szCs w:val="32"/>
        </w:rPr>
        <w:t xml:space="preserve">5. Hoe worden gedeeltelijke terugbetalingen verwerkt?</w:t>
      </w:r>
    </w:p>
    <w:p>
      <w:pPr>
        <w:spacing w:after="80" w:before="80"/>
      </w:pPr>
      <w:r>
        <w:t xml:space="preserve">Gedeeltelijke terugbetalingen worden uitgevoerd via onze betaaldienstverlener Stripe en gestort op de oorspronkelijke betaalmethode die je voor jouw Cairnly-aankoop hebt gebruikt. Terugbetalingen worden administratief verwerkt als creditfactuur op de oorspronkelijke transactie. De bijbehorende btw-correctie wordt automatisch in onze administratie verwerkt.</w:t>
      </w:r>
    </w:p>
    <w:p>
      <w:pPr>
        <w:spacing w:after="80" w:before="80"/>
      </w:pPr>
      <w:r>
        <w:t xml:space="preserve">Een terugbetaling verschijnt doorgaans binnen 5–10 werkdagen op jouw rekening, afhankelijk van jouw bank of card issuer. Als jouw oorspronkelijke betaalmethode niet meer geldig is (bijvoorbeeld bij een vervallen of opgeheven kaart), nemen wij contact met je op om een alternatieve uitkering via bankoverboeking te regelen.</w:t>
      </w:r>
    </w:p>
    <w:p>
      <w:pPr>
        <w:pStyle w:val="Heading1"/>
        <w:spacing w:after="120" w:before="240"/>
      </w:pPr>
      <w:r>
        <w:rPr>
          <w:b/>
          <w:bCs/>
          <w:sz w:val="32"/>
          <w:szCs w:val="32"/>
        </w:rPr>
        <w:t xml:space="preserve">6. Fiscale behandeling</w:t>
      </w:r>
    </w:p>
    <w:p>
      <w:pPr>
        <w:spacing w:after="80" w:before="80"/>
      </w:pPr>
      <w:r>
        <w:t xml:space="preserve">Omdat de gedeeltelijke terugbetalingen zoals beschreven in deze Referral Voorwaarden een terugwerkende verlaging zijn van de aankoopprijs die je als consument hebt betaald, behandelen wij deze niet als belastbaar inkomen aan jouw kant en houden wij geen belasting in of dragen wij geen belasting af namens jou. Als jouw persoonlijke fiscale situatie verlangt dat je deze bedragen anders verantwoordt, ben je daar zelf verantwoordelijk voor.</w:t>
      </w:r>
    </w:p>
    <w:p>
      <w:pPr>
        <w:spacing w:after="80" w:before="80"/>
      </w:pPr>
      <w:r>
        <w:t xml:space="preserve">Cairnly doet geen uitspraken over de fiscale behandeling van deze bedragen in jouw woonland. Bij twijfel raadpleeg je een belastingadviseur.</w:t>
      </w:r>
    </w:p>
    <w:p>
      <w:pPr>
        <w:pStyle w:val="Heading1"/>
        <w:spacing w:after="120" w:before="240"/>
      </w:pPr>
      <w:r>
        <w:rPr>
          <w:b/>
          <w:bCs/>
          <w:sz w:val="32"/>
          <w:szCs w:val="32"/>
        </w:rPr>
        <w:t xml:space="preserve">7. Geldigheidsduur</w:t>
      </w:r>
    </w:p>
    <w:p>
      <w:pPr>
        <w:spacing w:after="80" w:before="80"/>
      </w:pPr>
      <w:r>
        <w:t xml:space="preserve">Jouw referral-code is geldig vanaf de datum van jouw oorspronkelijke aankoop voor een periode van zes (6) maanden. Uitnodigingen die binnen deze periode leiden tot een Geldige Uitnodiging tellen mee voor jouw beloningen. Na deze periode wordt jouw referral-code gedeactiveerd en kunnen geen nieuwe beloningen meer worden verdiend. Reeds verdiende beloningen blijven behouden.</w:t>
      </w:r>
    </w:p>
    <w:p>
      <w:pPr>
        <w:pStyle w:val="Heading1"/>
        <w:spacing w:after="120" w:before="240"/>
      </w:pPr>
      <w:r>
        <w:rPr>
          <w:b/>
          <w:bCs/>
          <w:sz w:val="32"/>
          <w:szCs w:val="32"/>
        </w:rPr>
        <w:t xml:space="preserve">8. Toegestaan gebruik</w:t>
      </w:r>
    </w:p>
    <w:p>
      <w:pPr>
        <w:spacing w:after="80" w:before="80"/>
      </w:pPr>
      <w:r>
        <w:t xml:space="preserve">Je mag jouw referral-code delen via persoonlijke kanalen zoals directe berichten, e-mail, social media-berichten en gesprekken met mensen die je kent. Je mag jouw eerlijke mening en ervaring met Cairnly delen om anderen te helpen beslissen of zij zich willen aanmelden.</w:t>
      </w:r>
    </w:p>
    <w:p>
      <w:pPr>
        <w:spacing w:after="80" w:before="80"/>
      </w:pPr>
      <w:r>
        <w:t xml:space="preserve">Je mag niet:</w:t>
      </w:r>
    </w:p>
    <w:p>
      <w:pPr>
        <w:pStyle w:val="ListParagraph"/>
        <w:numPr>
          <w:ilvl w:val="0"/>
          <w:numId w:val="2"/>
        </w:numPr>
        <w:spacing w:after="40" w:before="40"/>
      </w:pPr>
      <w:r>
        <w:t xml:space="preserve">Jouw referral-code plaatsen op coupon-aggregatie websites, cashback-platforms of vergelijkbare diensten.</w:t>
      </w:r>
    </w:p>
    <w:p>
      <w:pPr>
        <w:pStyle w:val="ListParagraph"/>
        <w:numPr>
          <w:ilvl w:val="0"/>
          <w:numId w:val="2"/>
        </w:numPr>
        <w:spacing w:after="40" w:before="40"/>
      </w:pPr>
      <w:r>
        <w:t xml:space="preserve">Betaalde advertenties draaien waarin de naam “Cairnly” of een variant, logo of merkteken van Cairnly wordt gebruikt zonder onze voorafgaande schriftelijke toestemming.</w:t>
      </w:r>
    </w:p>
    <w:p>
      <w:pPr>
        <w:pStyle w:val="ListParagraph"/>
        <w:numPr>
          <w:ilvl w:val="0"/>
          <w:numId w:val="2"/>
        </w:numPr>
        <w:spacing w:after="40" w:before="40"/>
      </w:pPr>
      <w:r>
        <w:t xml:space="preserve">Onjuiste, misleidende of ongeoorloofde uitspraken doen over Cairnly om aanmeldingen te genereren.</w:t>
      </w:r>
    </w:p>
    <w:p>
      <w:pPr>
        <w:pStyle w:val="ListParagraph"/>
        <w:numPr>
          <w:ilvl w:val="0"/>
          <w:numId w:val="2"/>
        </w:numPr>
        <w:spacing w:after="40" w:before="40"/>
      </w:pPr>
      <w:r>
        <w:t xml:space="preserve">Ongevraagde bulkberichten, spam of andere communicatie versturen die in strijd is met geldende wetgeving, waaronder de AVG en de e-Privacyregelgeving.</w:t>
      </w:r>
    </w:p>
    <w:p>
      <w:pPr>
        <w:pStyle w:val="ListParagraph"/>
        <w:numPr>
          <w:ilvl w:val="0"/>
          <w:numId w:val="2"/>
        </w:numPr>
        <w:spacing w:after="40" w:before="40"/>
      </w:pPr>
      <w:r>
        <w:t xml:space="preserve">Het Referral Programma gebruiken op een wijze die in strijd is met de Algemene Voorwaarden of geldende wet- en regelgeving.</w:t>
      </w:r>
    </w:p>
    <w:p>
      <w:pPr>
        <w:spacing w:after="80" w:before="80"/>
      </w:pPr>
      <w:r>
        <w:t xml:space="preserve">Wij behouden ons het recht voor om jouw deelname aan het Referral Programma op te schorten of te beëindigen en eventuele openstaande beloningen in te trekken of terug te vorderen, indien wij redelijkerwijs van mening zijn dat je deze regels hebt overtreden. Bij ernstige of herhaalde overtreding kunnen ook reeds toegekende permanente ontgrendelingen worden ingetrokken.</w:t>
      </w:r>
    </w:p>
    <w:p>
      <w:pPr>
        <w:pStyle w:val="Heading1"/>
        <w:spacing w:after="120" w:before="240"/>
      </w:pPr>
      <w:r>
        <w:rPr>
          <w:b/>
          <w:bCs/>
          <w:sz w:val="32"/>
          <w:szCs w:val="32"/>
        </w:rPr>
        <w:t xml:space="preserve">9. Privacy</w:t>
      </w:r>
    </w:p>
    <w:p>
      <w:pPr>
        <w:spacing w:after="80" w:before="80"/>
      </w:pPr>
      <w:r>
        <w:t xml:space="preserve">Wanneer iemand zich aanmeldt via jouw referral-code, verwerken wij beperkte gegevens om de uitnodiging correct toe te wijzen en jouw beloning te kunnen administreren. Deze verwerking is noodzakelijk voor de uitvoering van onze overeenkomst met jou op grond van deze Referral Voorwaarden en is gebaseerd op ons gerechtvaardigd belang bij fraudepreventie.</w:t>
      </w:r>
    </w:p>
    <w:p>
      <w:pPr>
        <w:spacing w:after="80" w:before="80"/>
      </w:pPr>
      <w:r>
        <w:t xml:space="preserve">Wij delen geen persoonsgegevens van uitgenodigde personen met jou, anders dan een teller die het aantal Geldige Uitnodigingen weergeeft. Onze volledige privacypraktijken zijn beschreven in de Cairnly Privacyverklaring.</w:t>
      </w:r>
    </w:p>
    <w:p>
      <w:pPr>
        <w:spacing w:after="80" w:before="80"/>
      </w:pPr>
      <w:r>
        <w:t xml:space="preserve">Administratieve gegevens van gedeeltelijke terugbetalingen worden bewaard voor de periode die op grond van de Nederlandse fiscale en boekhoudwetgeving is vereist (op dit moment zeven jaar), ongeacht een eventuele latere verwijdering van jouw Cairnly-account.</w:t>
      </w:r>
    </w:p>
    <w:p>
      <w:pPr>
        <w:pStyle w:val="Heading1"/>
        <w:spacing w:after="120" w:before="240"/>
      </w:pPr>
      <w:r>
        <w:rPr>
          <w:b/>
          <w:bCs/>
          <w:sz w:val="32"/>
          <w:szCs w:val="32"/>
        </w:rPr>
        <w:t xml:space="preserve">10. Wijzigingen, opschorting en beëindiging</w:t>
      </w:r>
    </w:p>
    <w:p>
      <w:pPr>
        <w:spacing w:after="80" w:before="80"/>
      </w:pPr>
      <w:r>
        <w:t xml:space="preserve">Human in the Loop B.V. mag het Referral Programma op elk moment wijzigen, opschorten of beëindigen. Wij geven binnen redelijke termijn kennis van materiële wijzigingen via e-mail en/of een melding in het product. Beloningen die op het moment van wijziging of beëindiging al zijn verdiend, blijven verschuldigd of actief.</w:t>
      </w:r>
    </w:p>
    <w:p>
      <w:pPr>
        <w:spacing w:after="80" w:before="80"/>
      </w:pPr>
      <w:r>
        <w:t xml:space="preserve">Deze Referral Voorwaarden kunnen van tijd tot tijd worden bijgewerkt. De “Laatst bijgewerkt”-datum bovenaan geeft de meest recente versie aan. Voortzetting van deelname aan het Referral Programma na een wijziging geldt als acceptatie van de gewijzigde voorwaarden.</w:t>
      </w:r>
    </w:p>
    <w:p>
      <w:pPr>
        <w:pStyle w:val="Heading1"/>
        <w:spacing w:after="120" w:before="240"/>
      </w:pPr>
      <w:r>
        <w:rPr>
          <w:b/>
          <w:bCs/>
          <w:sz w:val="32"/>
          <w:szCs w:val="32"/>
        </w:rPr>
        <w:t xml:space="preserve">11. Aansprakelijkheid</w:t>
      </w:r>
    </w:p>
    <w:p>
      <w:pPr>
        <w:spacing w:after="80" w:before="80"/>
      </w:pPr>
      <w:r>
        <w:t xml:space="preserve">Voor zover wettelijk toegestaan, is onze aansprakelijkheid die voortvloeit uit of verband houdt met het Referral Programma beperkt tot de waarde van de beloningen die jij rechtsgeldig op grond van deze Referral Voorwaarden hebt verdiend. Niets in deze Referral Voorwaarden beperkt aansprakelijkheid die op grond van dwingend recht niet kan worden uitgesloten, waaronder consumentenrecht.</w:t>
      </w:r>
    </w:p>
    <w:p>
      <w:pPr>
        <w:pStyle w:val="Heading1"/>
        <w:spacing w:after="120" w:before="240"/>
      </w:pPr>
      <w:r>
        <w:rPr>
          <w:b/>
          <w:bCs/>
          <w:sz w:val="32"/>
          <w:szCs w:val="32"/>
        </w:rPr>
        <w:t xml:space="preserve">12. Toepasselijk recht en geschillen</w:t>
      </w:r>
    </w:p>
    <w:p>
      <w:pPr>
        <w:spacing w:after="80" w:before="80"/>
      </w:pPr>
      <w:r>
        <w:t xml:space="preserve">Op deze Referral Voorwaarden is Nederlands recht van toepassing. Als je consument bent met woonplaats in de EU, behoud je de bescherming van de dwingendrechtelijke consumentenregels van jouw woonland.</w:t>
      </w:r>
    </w:p>
    <w:p>
      <w:pPr>
        <w:spacing w:after="80" w:before="80"/>
      </w:pPr>
      <w:r>
        <w:t xml:space="preserve">Heb je een klacht over het Referral Programma, neem dan eerst contact met ons op via onderstaand adres, zodat we kunnen proberen dit op te lossen. EU-consumenten kunnen daarnaast gebruikmaken van het ODR-platform van de Europese Commissie op https://ec.europa.eu/consumers/odr.</w:t>
      </w:r>
    </w:p>
    <w:p>
      <w:pPr>
        <w:pStyle w:val="Heading1"/>
        <w:spacing w:after="120" w:before="240"/>
      </w:pPr>
      <w:r>
        <w:rPr>
          <w:b/>
          <w:bCs/>
          <w:sz w:val="32"/>
          <w:szCs w:val="32"/>
        </w:rPr>
        <w:t xml:space="preserve">13. Contact</w:t>
      </w:r>
    </w:p>
    <w:p>
      <w:pPr>
        <w:spacing w:after="80" w:before="80"/>
      </w:pPr>
      <w:r>
        <w:t xml:space="preserve">Human in the Loop B.V.</w:t>
      </w:r>
    </w:p>
    <w:p>
      <w:pPr>
        <w:spacing w:after="80" w:before="80"/>
      </w:pPr>
      <w:r>
        <w:t xml:space="preserve">Handelend onder de naam Cairnly</w:t>
      </w:r>
    </w:p>
    <w:p>
      <w:pPr>
        <w:spacing w:after="80" w:before="80"/>
      </w:pPr>
      <w:r>
        <w:t xml:space="preserve">Utrecht, Nederland</w:t>
      </w:r>
    </w:p>
    <w:p>
      <w:pPr>
        <w:spacing w:after="80" w:before="80"/>
      </w:pPr>
      <w:r>
        <w:t xml:space="preserve">KvK: [invullen]   |   Btw: [invullen]</w:t>
      </w:r>
    </w:p>
    <w:p>
      <w:pPr>
        <w:spacing w:after="80" w:before="80"/>
      </w:pPr>
      <w:r>
        <w:t xml:space="preserve">E-mail: legal@cairnly.io   |   Support: info@cairnly.io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1F1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1F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2026-05-30T12:02:20.518Z</dcterms:created>
  <dcterms:modified xsi:type="dcterms:W3CDTF">2026-05-30T12:02:20.519Z</dcterms:modified>
</cp:coreProperties>
</file>

<file path=docProps/custom.xml><?xml version="1.0" encoding="utf-8"?>
<Properties xmlns="http://schemas.openxmlformats.org/officeDocument/2006/custom-properties" xmlns:vt="http://schemas.openxmlformats.org/officeDocument/2006/docPropsVTypes"/>
</file>