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r>
        <w:t>JDK静态代理、JDK动态代理以及CGLIB动态代理</w:t>
      </w:r>
    </w:p>
    <w:p>
      <w:r>
        <w:drawing>
          <wp:inline distT="0" distB="0" distL="114300" distR="114300">
            <wp:extent cx="5395595" cy="3060065"/>
            <wp:effectExtent l="0" t="0" r="1460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JDK静态代理</w:t>
      </w:r>
    </w:p>
    <w:p>
      <w:r>
        <w:drawing>
          <wp:inline distT="0" distB="0" distL="114300" distR="114300">
            <wp:extent cx="4286250" cy="6629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我们可以看出，使用JDK静态代理很容易就完成了对一个类的代理操作。但是JDK静态代理的缺点也暴露了出来：由于代理只能为一个类服务，如果需要代理的类很多，那么就需要编写大量的代理类，比较繁琐。</w:t>
      </w:r>
    </w:p>
    <w:p>
      <w:r>
        <w:drawing>
          <wp:inline distT="0" distB="0" distL="114300" distR="114300">
            <wp:extent cx="4472940" cy="60121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601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t>JDK动态代理其实也是基本接口实现的。因为通过接口指向实现类实例的多态方式，可以有效地将具体实现与调用解耦，便于后期的修改和维护。</w:t>
      </w:r>
      <w:r>
        <w:rPr>
          <w:rFonts w:hint="eastAsia"/>
          <w:lang w:eastAsia="zh-CN"/>
        </w:rPr>
        <w:t>更具源码可知设置系统属性</w:t>
      </w:r>
      <w:r>
        <w:rPr>
          <w:rFonts w:hint="default"/>
        </w:rPr>
        <w:t>sun.misc.ProxyGenerator.saveGeneratedFiles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ture时可以打印出动态生成的代理类如</w:t>
      </w:r>
      <w:r>
        <w:rPr>
          <w:rFonts w:hint="default"/>
        </w:rPr>
        <w:t>public final class $Proxy0 extends Proxy implements Student {</w:t>
      </w:r>
      <w:r>
        <w:rPr>
          <w:rFonts w:hint="eastAsia"/>
          <w:lang w:val="en-US" w:eastAsia="zh-CN"/>
        </w:rPr>
        <w:t>...}，可知jdk动态代理都继承了Proxy这个类，所以必须是接口。</w:t>
      </w:r>
    </w:p>
    <w:p>
      <w:pPr>
        <w:rPr>
          <w:rFonts w:hint="eastAsia"/>
          <w:lang w:val="en-US" w:eastAsia="zh-CN"/>
        </w:rPr>
      </w:pPr>
    </w:p>
    <w:p>
      <w:r>
        <w:t>CGLIB动态代理</w:t>
      </w:r>
    </w:p>
    <w:p>
      <w:r>
        <w:t>CGLIB底层：使用字节码处理框架ASM，来转换字节码并生成新的类。 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动态代理十分广泛如</w:t>
      </w:r>
      <w:r>
        <w:rPr>
          <w:rFonts w:hint="eastAsia"/>
          <w:lang w:val="en-US" w:eastAsia="zh-CN"/>
        </w:rPr>
        <w:t>mybatis mapper代理、spring aop原理、事务管理原理都是动态代理实现的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47410" cy="4248150"/>
            <wp:effectExtent l="0" t="0" r="152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每个用@</w:t>
      </w:r>
      <w:r>
        <w:rPr>
          <w:rFonts w:hint="default"/>
        </w:rPr>
        <w:t>Transactional</w:t>
      </w:r>
      <w:r>
        <w:rPr>
          <w:rFonts w:hint="eastAsia"/>
          <w:lang w:eastAsia="zh-CN"/>
        </w:rPr>
        <w:t>注解的</w:t>
      </w:r>
      <w:r>
        <w:rPr>
          <w:rFonts w:hint="eastAsia"/>
          <w:lang w:val="en-US" w:eastAsia="zh-CN"/>
        </w:rPr>
        <w:t>service层的类实际上运行时的实例都是代理类，当类.方法时，此方法是代理方法会从上面invoke进入，而在方法里调用方法则是普通方法。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0539F"/>
    <w:rsid w:val="1D8B419F"/>
    <w:rsid w:val="1EAC30A9"/>
    <w:rsid w:val="2C3F640B"/>
    <w:rsid w:val="32831A80"/>
    <w:rsid w:val="332C716B"/>
    <w:rsid w:val="3F3E41C4"/>
    <w:rsid w:val="46FA25FC"/>
    <w:rsid w:val="4D5C45EE"/>
    <w:rsid w:val="53D04C42"/>
    <w:rsid w:val="565E09EF"/>
    <w:rsid w:val="5F1D1E8D"/>
    <w:rsid w:val="609440C6"/>
    <w:rsid w:val="62BA23C0"/>
    <w:rsid w:val="68F77D14"/>
    <w:rsid w:val="756D3C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2019-10-12T07:50:37Z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