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Deteksi Anomali pada Indikator Ekonomi Makro Menggunakan Local Outlier Factor (LOF) sebagai Early Warning System Krisis Ekonomi</w:t>
      </w:r>
    </w:p>
    <w:p>
      <w:pPr>
        <w:spacing w:after="240"/>
        <w:jc w:val="center"/>
      </w:pPr>
      <w:r>
        <w:rPr>
          <w:rFonts w:ascii="Times New Roman" w:cs="Times New Roman" w:eastAsia="Times New Roman" w:hAnsi="Times New Roman"/>
          <w:sz w:val="28"/>
          <w:szCs w:val="28"/>
        </w:rPr>
        <w:t xml:space="preserve">Studi Kasus pada 49 Negara Berdasarkan Data World Bank Global Economic Monitor, 1990–2024</w:t>
      </w:r>
    </w:p>
    <w:p>
      <w:pPr>
        <w:spacing w:after="240"/>
        <w:jc w:val="center"/>
      </w:pPr>
      <w:r>
        <w:rPr>
          <w:rFonts w:ascii="Times New Roman" w:cs="Times New Roman" w:eastAsia="Times New Roman" w:hAnsi="Times New Roman"/>
          <w:i/>
          <w:iCs/>
          <w:sz w:val="24"/>
          <w:szCs w:val="24"/>
        </w:rPr>
        <w:t xml:space="preserve">(Anomaly Detection in Macroeconomic Indicators Using Local Outlier Factor (LOF) as an Early Warning System for Economic Crisis)</w:t>
      </w:r>
    </w:p>
    <w:p>
      <w:pPr>
        <w:spacing w:after="40"/>
        <w:jc w:val="center"/>
      </w:pPr>
      <w:r>
        <w:rPr>
          <w:rFonts w:ascii="Times New Roman" w:cs="Times New Roman" w:eastAsia="Times New Roman" w:hAnsi="Times New Roman"/>
          <w:b/>
          <w:bCs/>
          <w:sz w:val="22"/>
          <w:szCs w:val="22"/>
        </w:rPr>
        <w:t xml:space="preserve">Amir</w:t>
      </w:r>
    </w:p>
    <w:p>
      <w:pPr>
        <w:spacing w:after="40"/>
        <w:jc w:val="center"/>
      </w:pPr>
      <w:r>
        <w:rPr>
          <w:rFonts w:ascii="Times New Roman" w:cs="Times New Roman" w:eastAsia="Times New Roman" w:hAnsi="Times New Roman"/>
          <w:sz w:val="22"/>
          <w:szCs w:val="22"/>
        </w:rPr>
        <w:t xml:space="preserve">Mata Kuliah Data Mining, Semester 6, 2026</w:t>
      </w:r>
    </w:p>
    <w:p>
      <w:pPr>
        <w:spacing w:after="240"/>
        <w:jc w:val="center"/>
      </w:pPr>
      <w:r>
        <w:rPr>
          <w:rFonts w:ascii="Times New Roman" w:cs="Times New Roman" w:eastAsia="Times New Roman" w:hAnsi="Times New Roman"/>
          <w:i/>
          <w:iCs/>
          <w:sz w:val="20"/>
          <w:szCs w:val="20"/>
        </w:rPr>
        <w:t xml:space="preserve">Bagian dari proyek kelompok: Deteksi Anomali pada Indikator Ekonomi Makro sebagai Early Warning System Krisis Ekonomi menggunakan Pendekatan Unsupervised Learning</w:t>
      </w:r>
    </w:p>
    <w:p>
      <w:pPr>
        <w:spacing w:after="80" w:before="120"/>
      </w:pPr>
      <w:r>
        <w:rPr>
          <w:rFonts w:ascii="Times New Roman" w:cs="Times New Roman" w:eastAsia="Times New Roman" w:hAnsi="Times New Roman"/>
          <w:b/>
          <w:bCs/>
          <w:sz w:val="24"/>
          <w:szCs w:val="24"/>
        </w:rPr>
        <w:t xml:space="preserve">ABSTRAK</w:t>
      </w:r>
    </w:p>
    <w:p>
      <w:pPr>
        <w:spacing w:after="120"/>
        <w:jc w:val="both"/>
      </w:pPr>
      <w:r>
        <w:rPr>
          <w:rFonts w:ascii="Times New Roman" w:cs="Times New Roman" w:eastAsia="Times New Roman" w:hAnsi="Times New Roman"/>
          <w:i w:val="false"/>
          <w:iCs w:val="false"/>
          <w:sz w:val="20"/>
          <w:szCs w:val="20"/>
        </w:rPr>
        <w:t xml:space="preserve">Laporan ini menerapkan algoritma Local Outlier Factor (LOF) untuk mendeteksi anomali pada 14 indikator makroekonomi dari 49 negara periode 1990–2024, sebagai satu dari enam algoritma unsupervised dalam proyek kelompok Early Warning System (EWS) krisis ekonomi. Nilai n_neighbors dipilih secara label-free pada rentang k ∈ {5, 10, 15, 20, 30, 50} dan diagregasi lewat nilai maksimum, dengan ambang batas anomali tetap (anomaly_score &gt; 1,5) mengikuti interpretasi skor LOF Breunig et al. (2000). Terhadap ground truth eksternal bergaya IMF/Laeven-Valencia (229 dari 1.715 observasi berlabel krisis), LOF mencapai ROC-AUC 0,7099 dan F1-Score 0,2100, dengan robustness check 20 kali resampling menunjukkan hasil stabil (ROC-AUC 0,7068 ± 0,0106). LOF unggul mendeteksi krisis regional/idiosinkratik (Brasil, Argentina) namun lemah pada krisis global yang berdampak merata seperti Global Financial Crisis. Hasil ini menjadi satu kontribusi input bagi mekanisme Majority Voting tingkat proyek kelompok.</w:t>
      </w:r>
    </w:p>
    <w:p>
      <w:pPr>
        <w:spacing w:after="120"/>
        <w:jc w:val="both"/>
      </w:pPr>
      <w:r>
        <w:rPr>
          <w:rFonts w:ascii="Times New Roman" w:cs="Times New Roman" w:eastAsia="Times New Roman" w:hAnsi="Times New Roman"/>
          <w:b/>
          <w:bCs/>
          <w:i w:val="false"/>
          <w:iCs w:val="false"/>
          <w:sz w:val="20"/>
          <w:szCs w:val="20"/>
        </w:rPr>
        <w:t xml:space="preserve">Kata kunci: </w:t>
      </w:r>
      <w:r>
        <w:rPr>
          <w:rFonts w:ascii="Times New Roman" w:cs="Times New Roman" w:eastAsia="Times New Roman" w:hAnsi="Times New Roman"/>
          <w:i w:val="false"/>
          <w:iCs w:val="false"/>
          <w:sz w:val="20"/>
          <w:szCs w:val="20"/>
        </w:rPr>
        <w:t xml:space="preserve">deteksi anomali, Local Outlier Factor, early warning system, krisis ekonomi, unsupervised learning</w:t>
      </w:r>
    </w:p>
    <w:p>
      <w:pPr>
        <w:spacing w:after="80" w:before="120"/>
        <w:jc w:val="center"/>
      </w:pPr>
      <w:r>
        <w:rPr>
          <w:rFonts w:ascii="Times New Roman" w:cs="Times New Roman" w:eastAsia="Times New Roman" w:hAnsi="Times New Roman"/>
          <w:b/>
          <w:bCs/>
          <w:i/>
          <w:iCs/>
          <w:sz w:val="24"/>
          <w:szCs w:val="24"/>
        </w:rPr>
        <w:t xml:space="preserve">ABSTRACT</w:t>
      </w:r>
    </w:p>
    <w:p>
      <w:pPr>
        <w:spacing w:after="120"/>
        <w:jc w:val="both"/>
      </w:pPr>
      <w:r>
        <w:rPr>
          <w:rFonts w:ascii="Times New Roman" w:cs="Times New Roman" w:eastAsia="Times New Roman" w:hAnsi="Times New Roman"/>
          <w:i/>
          <w:iCs/>
          <w:sz w:val="20"/>
          <w:szCs w:val="20"/>
        </w:rPr>
        <w:t xml:space="preserve">This report implements the Local Outlier Factor (LOF) algorithm to detect anomalies in 14 macroeconomic indicators from 49 countries over 1990–2024, as one of six unsupervised algorithms in a group project on economic-crisis Early Warning Systems (EWS). The n_neighbors value was chosen in a fully label-free manner over k ∈ {5, 10, 15, 20, 30, 50} and aggregated by taking the maximum score, with a fixed anomaly threshold (anomaly_score &gt; 1.5) following Breunig et al.'s (2000) interpretation of the LOF score. Against an external IMF/Laeven-Valencia-style ground truth (229 of 1,715 crisis-labelled observations), LOF achieved a ROC-AUC of 0.7099 and F1-Score of 0.2100, with a 20-resample robustness check showing stable results (ROC-AUC 0.7068 ± 0.0106). LOF performed well on regional/idiosyncratic crises (Brazil, Argentina) but poorly on globally synchronized crises such as the Global Financial Crisis. These results contribute one input to the group project's Majority Voting mechanism.</w:t>
      </w:r>
    </w:p>
    <w:p>
      <w:pPr>
        <w:spacing w:after="120"/>
        <w:jc w:val="both"/>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anomaly detection, Local Outlier Factor, early warning system, economic crisis, unsupervised learning</w:t>
      </w:r>
    </w:p>
    <w:p>
      <w:pPr>
        <w:spacing w:after="120" w:before="240"/>
      </w:pPr>
      <w:r>
        <w:rPr>
          <w:rFonts w:ascii="Times New Roman" w:cs="Times New Roman" w:eastAsia="Times New Roman" w:hAnsi="Times New Roman"/>
          <w:b/>
          <w:bCs/>
          <w:sz w:val="24"/>
          <w:szCs w:val="24"/>
        </w:rPr>
        <w:t xml:space="preserve">1. PENDAHULUAN</w:t>
      </w:r>
    </w:p>
    <w:p>
      <w:pPr>
        <w:spacing w:after="100" w:before="200"/>
      </w:pPr>
      <w:r>
        <w:rPr>
          <w:rFonts w:ascii="Times New Roman" w:cs="Times New Roman" w:eastAsia="Times New Roman" w:hAnsi="Times New Roman"/>
          <w:b/>
          <w:bCs/>
          <w:sz w:val="22"/>
          <w:szCs w:val="22"/>
        </w:rPr>
        <w:t xml:space="preserve">1.1 Latar Belakang</w:t>
      </w:r>
    </w:p>
    <w:p>
      <w:pPr>
        <w:spacing w:after="120"/>
        <w:ind w:firstLine="425"/>
        <w:jc w:val="both"/>
      </w:pPr>
      <w:r>
        <w:rPr>
          <w:rFonts w:ascii="Times New Roman" w:cs="Times New Roman" w:eastAsia="Times New Roman" w:hAnsi="Times New Roman"/>
          <w:sz w:val="22"/>
          <w:szCs w:val="22"/>
        </w:rPr>
        <w:t xml:space="preserve">Krisis ekonomi merupakan fenomena yang berulang dalam sistem perekonomian global dan memiliki dampak yang sangat luas terhadap kesejahteraan masyarakat, stabilitas keuangan, serta pertumbuhan negara-negara di seluruh dunia (Reinhart &amp; Rogoff, 2009). Sejak akhir abad ke-20, dunia telah menyaksikan berbagai krisis besar, mulai dari Krisis Keuangan Asia 1997–1998, Global Financial Crisis (GFC) 2008–2009, Krisis Utang Eropa 2010–2012, hingga resesi akibat pandemi COVID-19 pada tahun 2020. Masing-masing krisis tersebut meninggalkan dampak sosial dan ekonomi yang sangat signifikan, termasuk lonjakan pengangguran, penurunan tajam Produk Domestik Bruto (PDB), dan instabilitas sistem keuangan (Laeven &amp; Valencia, 2018).</w:t>
      </w:r>
    </w:p>
    <w:p>
      <w:pPr>
        <w:spacing w:after="120"/>
        <w:ind w:firstLine="425"/>
        <w:jc w:val="both"/>
      </w:pPr>
      <w:r>
        <w:rPr>
          <w:rFonts w:ascii="Times New Roman" w:cs="Times New Roman" w:eastAsia="Times New Roman" w:hAnsi="Times New Roman"/>
          <w:sz w:val="22"/>
          <w:szCs w:val="22"/>
        </w:rPr>
        <w:t xml:space="preserve">Model Early Warning System (EWS) tradisional umumnya dibangun di atas fondasi ekonometrika (probit/logit models) yang mensyaratkan asumsi linearitas dan distribusi normal (Kaminsky, Lizondo, &amp; Reinhart, 1998). Asumsi ini sulit dipenuhi oleh data ekonomi makro riil, yang cenderung memiliki pola non-linear serta interaksi antar indikator yang kompleks. Di sisi lain, krisis merupakan peristiwa langka (rare event) sehingga pendekatan supervised learning terkendala oleh kelangkaan data berlabel dan ketidakseimbangan kelas yang ekstrem. Kondisi ini mendorong penggunaan pendekatan unsupervised anomaly detection, yang mampu mengidentifikasi observasi yang menyimpang dari pola normal tanpa memerlukan label krisis secara eksplisit, baik pada tahap pelatihan model maupun pada tahap pemilihan hyperparameter (Chandola, Banerjee, &amp; Kumar, 2009).</w:t>
      </w:r>
    </w:p>
    <w:p>
      <w:pPr>
        <w:spacing w:after="120"/>
        <w:ind w:firstLine="425"/>
        <w:jc w:val="both"/>
      </w:pPr>
      <w:r>
        <w:rPr>
          <w:rFonts w:ascii="Times New Roman" w:cs="Times New Roman" w:eastAsia="Times New Roman" w:hAnsi="Times New Roman"/>
          <w:sz w:val="22"/>
          <w:szCs w:val="22"/>
        </w:rPr>
        <w:t xml:space="preserve">Laporan ini menyajikan implementasi Local Outlier Factor (LOF), pendekatan density-based yang menilai keanomalian suatu observasi secara relatif terhadap kerapatan lokal tetangga-tetangganya, sebagai satu dari enam algoritma unsupervised yang dibandingkan dalam proyek kelompok EWS krisis ekonomi, menggunakan data 14 indikator makroekonomi dari 49 negara sepanjang 1990–2024 yang bersumber dari World Bank Global Economic Monitor.</w:t>
      </w:r>
    </w:p>
    <w:p>
      <w:pPr>
        <w:spacing w:after="100" w:before="200"/>
      </w:pPr>
      <w:r>
        <w:rPr>
          <w:rFonts w:ascii="Times New Roman" w:cs="Times New Roman" w:eastAsia="Times New Roman" w:hAnsi="Times New Roman"/>
          <w:b/>
          <w:bCs/>
          <w:sz w:val="22"/>
          <w:szCs w:val="22"/>
        </w:rPr>
        <w:t xml:space="preserve">1.2 Identifikasi Masalah</w:t>
      </w:r>
    </w:p>
    <w:p>
      <w:pPr>
        <w:pStyle w:val="ListParagraph"/>
        <w:numPr>
          <w:ilvl w:val="0"/>
          <w:numId w:val="2"/>
        </w:numPr>
        <w:spacing w:after="100"/>
        <w:jc w:val="both"/>
      </w:pPr>
      <w:r>
        <w:rPr>
          <w:rFonts w:ascii="Times New Roman" w:cs="Times New Roman" w:eastAsia="Times New Roman" w:hAnsi="Times New Roman"/>
          <w:sz w:val="22"/>
          <w:szCs w:val="22"/>
        </w:rPr>
        <w:t xml:space="preserve">Keterbatasan metode konvensional dalam menangkap pola non-linear dan interaksi kompleks antar indikator ekonomi makro.</w:t>
      </w:r>
    </w:p>
    <w:p>
      <w:pPr>
        <w:pStyle w:val="ListParagraph"/>
        <w:numPr>
          <w:ilvl w:val="0"/>
          <w:numId w:val="2"/>
        </w:numPr>
        <w:spacing w:after="100"/>
        <w:jc w:val="both"/>
      </w:pPr>
      <w:r>
        <w:rPr>
          <w:rFonts w:ascii="Times New Roman" w:cs="Times New Roman" w:eastAsia="Times New Roman" w:hAnsi="Times New Roman"/>
          <w:sz w:val="22"/>
          <w:szCs w:val="22"/>
        </w:rPr>
        <w:t xml:space="preserve">Kelangkaan data berlabel akibat sifat krisis yang jarang terjadi, sehingga pendekatan unsupervised menjadi jalan keluar yang lebih realistis.</w:t>
      </w:r>
    </w:p>
    <w:p>
      <w:pPr>
        <w:pStyle w:val="ListParagraph"/>
        <w:numPr>
          <w:ilvl w:val="0"/>
          <w:numId w:val="2"/>
        </w:numPr>
        <w:spacing w:after="100"/>
        <w:jc w:val="both"/>
      </w:pPr>
      <w:r>
        <w:rPr>
          <w:rFonts w:ascii="Times New Roman" w:cs="Times New Roman" w:eastAsia="Times New Roman" w:hAnsi="Times New Roman"/>
          <w:sz w:val="22"/>
          <w:szCs w:val="22"/>
        </w:rPr>
        <w:t xml:space="preserve">Heterogenitas struktural antarnegara membuat definisi “normal” bersifat kontekstual, bukan global, sehingga muncul pertanyaan apakah pendekatan berbasis kerapatan lokal (LOF) lebih unggul menangkap anomali dibandingkan pendekatan berbasis kerapatan/jarak global.</w:t>
      </w:r>
    </w:p>
    <w:p>
      <w:pPr>
        <w:pStyle w:val="ListParagraph"/>
        <w:numPr>
          <w:ilvl w:val="0"/>
          <w:numId w:val="2"/>
        </w:numPr>
        <w:spacing w:after="100"/>
        <w:jc w:val="both"/>
      </w:pPr>
      <w:r>
        <w:rPr>
          <w:rFonts w:ascii="Times New Roman" w:cs="Times New Roman" w:eastAsia="Times New Roman" w:hAnsi="Times New Roman"/>
          <w:sz w:val="22"/>
          <w:szCs w:val="22"/>
        </w:rPr>
        <w:t xml:space="preserve">Sensitivitas performa LOF terhadap pemilihan n_neighbors, sehingga diperlukan skema pemilihan yang sistematis namun tetap tidak bergantung pada label krisis di tahap manapun sebelum evaluasi.</w:t>
      </w:r>
    </w:p>
    <w:p>
      <w:pPr>
        <w:spacing w:after="100" w:before="200"/>
      </w:pPr>
      <w:r>
        <w:rPr>
          <w:rFonts w:ascii="Times New Roman" w:cs="Times New Roman" w:eastAsia="Times New Roman" w:hAnsi="Times New Roman"/>
          <w:b/>
          <w:bCs/>
          <w:sz w:val="22"/>
          <w:szCs w:val="22"/>
        </w:rPr>
        <w:t xml:space="preserve">1.3 Tujuan</w:t>
      </w:r>
    </w:p>
    <w:p>
      <w:pPr>
        <w:pStyle w:val="ListParagraph"/>
        <w:numPr>
          <w:ilvl w:val="0"/>
          <w:numId w:val="3"/>
        </w:numPr>
        <w:spacing w:after="100"/>
        <w:jc w:val="both"/>
      </w:pPr>
      <w:r>
        <w:rPr>
          <w:rFonts w:ascii="Times New Roman" w:cs="Times New Roman" w:eastAsia="Times New Roman" w:hAnsi="Times New Roman"/>
          <w:sz w:val="22"/>
          <w:szCs w:val="22"/>
        </w:rPr>
        <w:t xml:space="preserve">Mengimplementasikan algoritma Local Outlier Factor untuk mendeteksi anomali pada 14 indikator makroekonomi dari 49 negara (1990–2024).</w:t>
      </w:r>
    </w:p>
    <w:p>
      <w:pPr>
        <w:pStyle w:val="ListParagraph"/>
        <w:numPr>
          <w:ilvl w:val="0"/>
          <w:numId w:val="3"/>
        </w:numPr>
        <w:spacing w:after="100"/>
        <w:jc w:val="both"/>
      </w:pPr>
      <w:r>
        <w:rPr>
          <w:rFonts w:ascii="Times New Roman" w:cs="Times New Roman" w:eastAsia="Times New Roman" w:hAnsi="Times New Roman"/>
          <w:sz w:val="22"/>
          <w:szCs w:val="22"/>
        </w:rPr>
        <w:t xml:space="preserve">Menentukan konfigurasi n_neighbors secara label-free, melalui agregasi maksimum skor LOF pada rentang nilai k sesuai rekomendasi asli Breunig et al. (2000).</w:t>
      </w:r>
    </w:p>
    <w:p>
      <w:pPr>
        <w:pStyle w:val="ListParagraph"/>
        <w:numPr>
          <w:ilvl w:val="0"/>
          <w:numId w:val="3"/>
        </w:numPr>
        <w:spacing w:after="100"/>
        <w:jc w:val="both"/>
      </w:pPr>
      <w:r>
        <w:rPr>
          <w:rFonts w:ascii="Times New Roman" w:cs="Times New Roman" w:eastAsia="Times New Roman" w:hAnsi="Times New Roman"/>
          <w:sz w:val="22"/>
          <w:szCs w:val="22"/>
        </w:rPr>
        <w:t xml:space="preserve">Mengevaluasi performa LOF terhadap ground truth eksternal menggunakan metrik Precision, Recall, F1-Score, ROC-AUC, dan Average Precision, serta membuktikan stabilitas hasil lewat robustness check berbasis resampling.</w:t>
      </w:r>
    </w:p>
    <w:p>
      <w:pPr>
        <w:pStyle w:val="ListParagraph"/>
        <w:numPr>
          <w:ilvl w:val="0"/>
          <w:numId w:val="3"/>
        </w:numPr>
        <w:spacing w:after="100"/>
        <w:jc w:val="both"/>
      </w:pPr>
      <w:r>
        <w:rPr>
          <w:rFonts w:ascii="Times New Roman" w:cs="Times New Roman" w:eastAsia="Times New Roman" w:hAnsi="Times New Roman"/>
          <w:sz w:val="22"/>
          <w:szCs w:val="22"/>
        </w:rPr>
        <w:t xml:space="preserve">Menginterpretasikan hasil deteksi per periode krisis dan per negara untuk memahami kekuatan dan keterbatasan LOF sebagai komponen EWS.</w:t>
      </w:r>
    </w:p>
    <w:p>
      <w:pPr>
        <w:pStyle w:val="ListParagraph"/>
        <w:numPr>
          <w:ilvl w:val="0"/>
          <w:numId w:val="3"/>
        </w:numPr>
        <w:spacing w:after="100"/>
        <w:jc w:val="both"/>
      </w:pPr>
      <w:r>
        <w:rPr>
          <w:rFonts w:ascii="Times New Roman" w:cs="Times New Roman" w:eastAsia="Times New Roman" w:hAnsi="Times New Roman"/>
          <w:sz w:val="22"/>
          <w:szCs w:val="22"/>
        </w:rPr>
        <w:t xml:space="preserve">Memberikan kontribusi hasil yang kompatibel dengan lima algoritma lain dalam proyek kelompok untuk tahap agregasi Majority Voting.</w:t>
      </w:r>
    </w:p>
    <w:p>
      <w:pPr>
        <w:spacing w:after="120" w:before="240"/>
      </w:pPr>
      <w:r>
        <w:rPr>
          <w:rFonts w:ascii="Times New Roman" w:cs="Times New Roman" w:eastAsia="Times New Roman" w:hAnsi="Times New Roman"/>
          <w:b/>
          <w:bCs/>
          <w:sz w:val="24"/>
          <w:szCs w:val="24"/>
        </w:rPr>
        <w:t xml:space="preserve">2. METODE</w:t>
      </w:r>
    </w:p>
    <w:p>
      <w:pPr>
        <w:spacing w:after="100" w:before="200"/>
      </w:pPr>
      <w:r>
        <w:rPr>
          <w:rFonts w:ascii="Times New Roman" w:cs="Times New Roman" w:eastAsia="Times New Roman" w:hAnsi="Times New Roman"/>
          <w:b/>
          <w:bCs/>
          <w:sz w:val="22"/>
          <w:szCs w:val="22"/>
        </w:rPr>
        <w:t xml:space="preserve">2.1 Landasan Teori</w:t>
      </w:r>
    </w:p>
    <w:p>
      <w:pPr>
        <w:spacing w:after="80" w:before="120"/>
      </w:pPr>
      <w:r>
        <w:rPr>
          <w:rFonts w:ascii="Times New Roman" w:cs="Times New Roman" w:eastAsia="Times New Roman" w:hAnsi="Times New Roman"/>
          <w:i/>
          <w:iCs/>
          <w:sz w:val="22"/>
          <w:szCs w:val="22"/>
        </w:rPr>
        <w:t xml:space="preserve">Krisis Ekonomi dan Early Warning System</w:t>
      </w:r>
    </w:p>
    <w:p>
      <w:pPr>
        <w:spacing w:after="120"/>
        <w:ind w:firstLine="425"/>
        <w:jc w:val="both"/>
      </w:pPr>
      <w:r>
        <w:rPr>
          <w:rFonts w:ascii="Times New Roman" w:cs="Times New Roman" w:eastAsia="Times New Roman" w:hAnsi="Times New Roman"/>
          <w:sz w:val="22"/>
          <w:szCs w:val="22"/>
        </w:rPr>
        <w:t xml:space="preserve">Krisis ekonomi didefinisikan sebagai periode ketika perekonomian suatu negara mengalami penurunan tajam pada indikator-indikator fundamental seperti PDB, nilai tukar, dan stabilitas sistem keuangan (Claessens &amp; Kose, 2013). Early Warning System dirancang untuk mendeteksi sinyal-sinyal awal ketidakseimbangan ekonomi makro sebelum krisis terjadi secara penuh, sehingga otoritas memiliki waktu yang cukup untuk mengambil langkah mitigasi (Kaminsky et al., 1998).</w:t>
      </w:r>
    </w:p>
    <w:p>
      <w:pPr>
        <w:spacing w:after="80" w:before="120"/>
      </w:pPr>
      <w:r>
        <w:rPr>
          <w:rFonts w:ascii="Times New Roman" w:cs="Times New Roman" w:eastAsia="Times New Roman" w:hAnsi="Times New Roman"/>
          <w:i/>
          <w:iCs/>
          <w:sz w:val="22"/>
          <w:szCs w:val="22"/>
        </w:rPr>
        <w:t xml:space="preserve">Deteksi Anomali Berbasis Kerapatan (Density-Based) dan Local Outlier Factor</w:t>
      </w:r>
    </w:p>
    <w:p>
      <w:pPr>
        <w:spacing w:after="120"/>
        <w:ind w:firstLine="425"/>
        <w:jc w:val="both"/>
      </w:pPr>
      <w:r>
        <w:rPr>
          <w:rFonts w:ascii="Times New Roman" w:cs="Times New Roman" w:eastAsia="Times New Roman" w:hAnsi="Times New Roman"/>
          <w:sz w:val="22"/>
          <w:szCs w:val="22"/>
        </w:rPr>
        <w:t xml:space="preserve">Deteksi anomali berbasis kerapatan berangkat dari premis bahwa observasi normal berada pada wilayah dengan kerapatan data yang tinggi, sedangkan anomali berada pada wilayah berkepadatan rendah (Chandola et al., 2009). Berbeda dengan metode berbasis jarak global (distance-based, misalnya k-NN) yang menilai keanomalian terhadap keseluruhan populasi, pendekatan berbasis kerapatan lokal menilai keanomalian relatif terhadap tetangga terdekat suatu titik, sehingga lebih sensitif terhadap struktur data yang tidak homogen (Breunig et al., 2000).</w:t>
      </w:r>
    </w:p>
    <w:p>
      <w:pPr>
        <w:spacing w:after="120"/>
        <w:ind w:firstLine="425"/>
        <w:jc w:val="both"/>
      </w:pPr>
      <w:r>
        <w:rPr>
          <w:rFonts w:ascii="Times New Roman" w:cs="Times New Roman" w:eastAsia="Times New Roman" w:hAnsi="Times New Roman"/>
          <w:sz w:val="22"/>
          <w:szCs w:val="22"/>
        </w:rPr>
        <w:t xml:space="preserve">LOF, yang dirumuskan oleh Breunig, Kriegel, Ng, dan Sander (2000), mengukur derajat keanomalian suatu titik data melalui empat konsep bertingkat:</w:t>
      </w:r>
    </w:p>
    <w:p>
      <w:pPr>
        <w:pStyle w:val="ListParagraph"/>
        <w:numPr>
          <w:ilvl w:val="0"/>
          <w:numId w:val="4"/>
        </w:numPr>
        <w:spacing w:after="100"/>
        <w:jc w:val="both"/>
      </w:pPr>
      <w:r>
        <w:rPr>
          <w:rFonts w:ascii="Times New Roman" w:cs="Times New Roman" w:eastAsia="Times New Roman" w:hAnsi="Times New Roman"/>
          <w:sz w:val="22"/>
          <w:szCs w:val="22"/>
        </w:rPr>
        <w:t xml:space="preserve">k-distance(p): jarak dari titik p ke tetangga ke-k terdekatnya.</w:t>
      </w:r>
    </w:p>
    <w:p>
      <w:pPr>
        <w:pStyle w:val="ListParagraph"/>
        <w:numPr>
          <w:ilvl w:val="0"/>
          <w:numId w:val="4"/>
        </w:numPr>
        <w:spacing w:after="100"/>
        <w:jc w:val="both"/>
      </w:pPr>
      <w:r>
        <w:rPr>
          <w:rFonts w:ascii="Times New Roman" w:cs="Times New Roman" w:eastAsia="Times New Roman" w:hAnsi="Times New Roman"/>
          <w:sz w:val="22"/>
          <w:szCs w:val="22"/>
        </w:rPr>
        <w:t xml:space="preserve">Reachability distance: reach-dist_k(p,o) = max(k-dist(o), d(p,o)), yaitu jarak efektif dari p ke o yang “dihaluskan” agar tidak terlalu sensitif terhadap fluktuasi lokal.</w:t>
      </w:r>
    </w:p>
    <w:p>
      <w:pPr>
        <w:pStyle w:val="ListParagraph"/>
        <w:numPr>
          <w:ilvl w:val="0"/>
          <w:numId w:val="4"/>
        </w:numPr>
        <w:spacing w:after="100"/>
        <w:jc w:val="both"/>
      </w:pPr>
      <w:r>
        <w:rPr>
          <w:rFonts w:ascii="Times New Roman" w:cs="Times New Roman" w:eastAsia="Times New Roman" w:hAnsi="Times New Roman"/>
          <w:sz w:val="22"/>
          <w:szCs w:val="22"/>
        </w:rPr>
        <w:t xml:space="preserve">Local Reachability Density (LRD): kebalikan dari rata-rata reachability distance terhadap k tetangga terdekat; semakin padat lingkungan suatu titik, semakin tinggi nilai LRD-nya.</w:t>
      </w:r>
    </w:p>
    <w:p>
      <w:pPr>
        <w:pStyle w:val="ListParagraph"/>
        <w:numPr>
          <w:ilvl w:val="0"/>
          <w:numId w:val="4"/>
        </w:numPr>
        <w:spacing w:after="100"/>
        <w:jc w:val="both"/>
      </w:pPr>
      <w:r>
        <w:rPr>
          <w:rFonts w:ascii="Times New Roman" w:cs="Times New Roman" w:eastAsia="Times New Roman" w:hAnsi="Times New Roman"/>
          <w:sz w:val="22"/>
          <w:szCs w:val="22"/>
        </w:rPr>
        <w:t xml:space="preserve">LOF Score: rasio rata-rata LRD tetangga terhadap LRD titik itu sendiri.</w:t>
      </w:r>
    </w:p>
    <w:p>
      <w:pPr>
        <w:spacing w:after="120"/>
        <w:ind w:firstLine="425"/>
        <w:jc w:val="both"/>
      </w:pPr>
      <w:r>
        <w:rPr>
          <w:rFonts w:ascii="Times New Roman" w:cs="Times New Roman" w:eastAsia="Times New Roman" w:hAnsi="Times New Roman"/>
          <w:sz w:val="22"/>
          <w:szCs w:val="22"/>
        </w:rPr>
        <w:t xml:space="preserve">Interpretasi skor LOF: nilai mendekati 1 mengindikasikan titik berada pada kerapatan yang serupa dengan tetangganya (normal), sedangkan nilai yang jauh lebih besar dari 1 mengindikasikan titik berada pada wilayah yang jauh lebih jarang dibanding lingkungan sekitarnya (anomali). Interpretasi inilah yang mendasari ambang batas tetap 1,5 yang dipakai pada penelitian ini untuk menentukan status anomali, setara dengan contamination='auto' pada scikit-learn, bukan diturunkan dari rasio krisis pada data.</w:t>
      </w:r>
    </w:p>
    <w:p>
      <w:pPr>
        <w:spacing w:after="120"/>
        <w:ind w:firstLine="425"/>
        <w:jc w:val="both"/>
      </w:pPr>
      <w:r>
        <w:rPr>
          <w:rFonts w:ascii="Times New Roman" w:cs="Times New Roman" w:eastAsia="Times New Roman" w:hAnsi="Times New Roman"/>
          <w:sz w:val="22"/>
          <w:szCs w:val="22"/>
        </w:rPr>
        <w:t xml:space="preserve">Breunig et al. (2000) juga merekomendasikan agar LOF tidak dihitung pada satu nilai k tunggal, melainkan pada suatu rentang [MinPts_LB, MinPts_UB], dengan skor akhir tiap titik diambil dari nilai maksimum sepanjang rentang tersebut, pendekatan yang secara langsung menjawab isu sensitivitas parameter tanpa memerlukan label untuk memilih satu k “terbaik”. Pendekatan inilah yang diadopsi pada penelitian ini (lihat §2.3). Keunggulan konseptual LOF terhadap konteks makroekonomi global adalah kemampuannya menilai anomali secara kontekstual/regional: sebuah negara dapat ditandai anomali karena menyimpang dari kelompok negara dengan karakteristik struktural serupa, meskipun tidak menjadi outlier ekstrem pada skala seluruh dunia.</w:t>
      </w:r>
    </w:p>
    <w:p>
      <w:pPr>
        <w:spacing w:after="80" w:before="120"/>
      </w:pPr>
      <w:r>
        <w:rPr>
          <w:rFonts w:ascii="Times New Roman" w:cs="Times New Roman" w:eastAsia="Times New Roman" w:hAnsi="Times New Roman"/>
          <w:i/>
          <w:iCs/>
          <w:sz w:val="22"/>
          <w:szCs w:val="22"/>
        </w:rPr>
        <w:t xml:space="preserve">Penelitian Terkait</w:t>
      </w:r>
    </w:p>
    <w:p>
      <w:pPr>
        <w:pStyle w:val="ListParagraph"/>
        <w:numPr>
          <w:ilvl w:val="0"/>
          <w:numId w:val="5"/>
        </w:numPr>
        <w:spacing w:after="100"/>
        <w:jc w:val="both"/>
      </w:pPr>
      <w:r>
        <w:rPr>
          <w:rFonts w:ascii="Times New Roman" w:cs="Times New Roman" w:eastAsia="Times New Roman" w:hAnsi="Times New Roman"/>
          <w:sz w:val="22"/>
          <w:szCs w:val="22"/>
        </w:rPr>
        <w:t xml:space="preserve">Breunig, Kriegel, Ng, &amp; Sander (2000) memperkenalkan LOF sebagai metrik keanomalian lokal pertama yang secara eksplisit memperhitungkan variasi kerapatan pada dataset, dan menunjukkan superioritasnya dibanding pendekatan berbasis jarak global pada dataset dengan kerapatan heterogen.</w:t>
      </w:r>
    </w:p>
    <w:p>
      <w:pPr>
        <w:pStyle w:val="ListParagraph"/>
        <w:numPr>
          <w:ilvl w:val="0"/>
          <w:numId w:val="5"/>
        </w:numPr>
        <w:spacing w:after="100"/>
        <w:jc w:val="both"/>
      </w:pPr>
      <w:r>
        <w:rPr>
          <w:rFonts w:ascii="Times New Roman" w:cs="Times New Roman" w:eastAsia="Times New Roman" w:hAnsi="Times New Roman"/>
          <w:sz w:val="22"/>
          <w:szCs w:val="22"/>
        </w:rPr>
        <w:t xml:space="preserve">Auskalnis, Paulauskas, &amp; Baskys (2018) menerapkan LOF untuk deteksi intrusi pada lalu lintas jaringan komputer (dataset NSL-KDD), menguji pengaruh berbagai nilai ambang batas terhadap akurasi deteksi, sejalan dengan analisis sensitivitas ambang batas yang juga dilakukan pada penelitian ini (§4.2).</w:t>
      </w:r>
    </w:p>
    <w:p>
      <w:pPr>
        <w:pStyle w:val="ListParagraph"/>
        <w:numPr>
          <w:ilvl w:val="0"/>
          <w:numId w:val="5"/>
        </w:numPr>
        <w:spacing w:after="100"/>
        <w:jc w:val="both"/>
      </w:pPr>
      <w:r>
        <w:rPr>
          <w:rFonts w:ascii="Times New Roman" w:cs="Times New Roman" w:eastAsia="Times New Roman" w:hAnsi="Times New Roman"/>
          <w:sz w:val="22"/>
          <w:szCs w:val="22"/>
        </w:rPr>
        <w:t xml:space="preserve">Budiarto, Permanasari, &amp; Fauziati (2019) membandingkan K-Means, LOF, dan One-Class SVM untuk deteksi anomali pada data penggunaan obat rumah sakit, menemukan bahwa OC-SVM sedikit mengungguli LOF dan K-Means, namun ketiga paradigma tetap berhasil menemukan outlier yang berbeda-beda, mendukung rasional proyek ini menggabungkan LOF dengan lima paradigma lain melalui Majority Voting.</w:t>
      </w:r>
    </w:p>
    <w:p>
      <w:pPr>
        <w:pStyle w:val="ListParagraph"/>
        <w:numPr>
          <w:ilvl w:val="0"/>
          <w:numId w:val="5"/>
        </w:numPr>
        <w:spacing w:after="100"/>
        <w:jc w:val="both"/>
      </w:pPr>
      <w:r>
        <w:rPr>
          <w:rFonts w:ascii="Times New Roman" w:cs="Times New Roman" w:eastAsia="Times New Roman" w:hAnsi="Times New Roman"/>
          <w:sz w:val="22"/>
          <w:szCs w:val="22"/>
        </w:rPr>
        <w:t xml:space="preserve">Mokua, wa Maina, &amp; Kiragu (2021) membandingkan LOF, Isolation Forest, Extended Isolation Forest, dan Robust Random Cut Forest pada data sensor kualitas air di Kenya, menemukan LOF mendeteksi seluruh outlier dengan benar sekaligus tercepat secara komputasi.</w:t>
      </w:r>
    </w:p>
    <w:p>
      <w:pPr>
        <w:pStyle w:val="ListParagraph"/>
        <w:numPr>
          <w:ilvl w:val="0"/>
          <w:numId w:val="5"/>
        </w:numPr>
        <w:spacing w:after="100"/>
        <w:jc w:val="both"/>
      </w:pPr>
      <w:r>
        <w:rPr>
          <w:rFonts w:ascii="Times New Roman" w:cs="Times New Roman" w:eastAsia="Times New Roman" w:hAnsi="Times New Roman"/>
          <w:sz w:val="22"/>
          <w:szCs w:val="22"/>
        </w:rPr>
        <w:t xml:space="preserve">Sugidamayatno &amp; Lelono (2019) menerapkan LOF untuk deteksi fraud kartu kredit dan memposisikan hasilnya sebagai sinyal early warning bagi bank, dengan akurasi LOF (96%) mengungguli INFLO (84%) dan AVF (77%).</w:t>
      </w:r>
    </w:p>
    <w:p>
      <w:pPr>
        <w:pStyle w:val="ListParagraph"/>
        <w:numPr>
          <w:ilvl w:val="0"/>
          <w:numId w:val="5"/>
        </w:numPr>
        <w:spacing w:after="100"/>
        <w:jc w:val="both"/>
      </w:pPr>
      <w:r>
        <w:rPr>
          <w:rFonts w:ascii="Times New Roman" w:cs="Times New Roman" w:eastAsia="Times New Roman" w:hAnsi="Times New Roman"/>
          <w:sz w:val="22"/>
          <w:szCs w:val="22"/>
        </w:rPr>
        <w:t xml:space="preserve">Goldstein &amp; Uchida (2016) menemukan performa LOF cenderung menurun pada dataset berdimensi tinggi (&gt;10 fitur) akibat curse of dimensionality, temuan yang relevan mengingat dataset penelitian ini memiliki 14 fitur.</w:t>
      </w:r>
    </w:p>
    <w:p>
      <w:pPr>
        <w:pStyle w:val="ListParagraph"/>
        <w:numPr>
          <w:ilvl w:val="0"/>
          <w:numId w:val="5"/>
        </w:numPr>
        <w:spacing w:after="100"/>
        <w:jc w:val="both"/>
      </w:pPr>
      <w:r>
        <w:rPr>
          <w:rFonts w:ascii="Times New Roman" w:cs="Times New Roman" w:eastAsia="Times New Roman" w:hAnsi="Times New Roman"/>
          <w:sz w:val="22"/>
          <w:szCs w:val="22"/>
        </w:rPr>
        <w:t xml:space="preserve">Laeven &amp; Valencia (2018) menyusun basis data krisis sistemik per negara-tahun yang menjadi rujukan taksonomi ground truth eksternal pada penelitian ini.</w:t>
      </w:r>
    </w:p>
    <w:p>
      <w:pPr>
        <w:spacing w:after="100" w:before="200"/>
      </w:pPr>
      <w:r>
        <w:rPr>
          <w:rFonts w:ascii="Times New Roman" w:cs="Times New Roman" w:eastAsia="Times New Roman" w:hAnsi="Times New Roman"/>
          <w:b/>
          <w:bCs/>
          <w:sz w:val="22"/>
          <w:szCs w:val="22"/>
        </w:rPr>
        <w:t xml:space="preserve">2.2 Data</w:t>
      </w:r>
    </w:p>
    <w:p>
      <w:pPr>
        <w:spacing w:after="120"/>
        <w:ind w:firstLine="425"/>
        <w:jc w:val="both"/>
      </w:pPr>
      <w:r>
        <w:rPr>
          <w:rFonts w:ascii="Times New Roman" w:cs="Times New Roman" w:eastAsia="Times New Roman" w:hAnsi="Times New Roman"/>
          <w:sz w:val="22"/>
          <w:szCs w:val="22"/>
        </w:rPr>
        <w:t xml:space="preserve">Fitur bersumber dari World Bank Global Economic Monitor (raw_data_master.csv), sedangkan ground truth krisis bersumber dari basis data bergaya IMF/Laeven-Valencia (ground_truth_imf.csv). Dataset mencakup 1.715 baris (49 negara × 35 tahun) periode 1990–2024, dengan 14 indikator makroekonomi yang distandardisasi menggunakan RobustScaler, serta 229 observasi berlabel krisis (13,4%), tersebar ke 28 episode bernama dan 22 observasi krisis individual tanpa nama episode.</w:t>
      </w:r>
    </w:p>
    <w:p>
      <w:pPr>
        <w:spacing w:after="60" w:before="120"/>
        <w:jc w:val="center"/>
      </w:pPr>
      <w:r>
        <w:rPr>
          <w:rFonts w:ascii="Times New Roman" w:cs="Times New Roman" w:eastAsia="Times New Roman" w:hAnsi="Times New Roman"/>
          <w:sz w:val="22"/>
          <w:szCs w:val="22"/>
        </w:rPr>
        <w:t xml:space="preserve">Tabel 2.1. Ringkasan sumber dan cakupan data.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c>
          <w:tcPr>
            <w:tcW w:type="dxa" w:w="2500"/>
            <w:tcBorders>
              <w:top w:val="single" w:color="000000" w:sz="4"/>
              <w:left w:val="none"/>
              <w:bottom w:val="single" w:color="000000" w:sz="4"/>
              <w:right w:val="none"/>
            </w:tcBorders>
            <w:shd w:fill="D9D9D9" w:val="clear"/>
            <w:vAlign w:val="center"/>
          </w:tcPr>
          <w:p>
            <w:pPr>
              <w:jc w:val="left"/>
            </w:pPr>
            <w:r>
              <w:rPr>
                <w:rFonts w:ascii="Times New Roman" w:cs="Times New Roman" w:eastAsia="Times New Roman" w:hAnsi="Times New Roman"/>
                <w:b/>
                <w:bCs/>
                <w:sz w:val="20"/>
                <w:szCs w:val="20"/>
              </w:rPr>
              <w:t xml:space="preserve">Aspek</w:t>
            </w:r>
          </w:p>
        </w:tc>
        <w:tc>
          <w:tcPr>
            <w:tcW w:type="dxa" w:w="6570"/>
            <w:tcBorders>
              <w:top w:val="single" w:color="000000" w:sz="4"/>
              <w:left w:val="none"/>
              <w:bottom w:val="single" w:color="000000" w:sz="4"/>
              <w:right w:val="none"/>
            </w:tcBorders>
            <w:shd w:fill="D9D9D9" w:val="clear"/>
            <w:vAlign w:val="center"/>
          </w:tcPr>
          <w:p>
            <w:pPr>
              <w:jc w:val="left"/>
            </w:pPr>
            <w:r>
              <w:rPr>
                <w:rFonts w:ascii="Times New Roman" w:cs="Times New Roman" w:eastAsia="Times New Roman" w:hAnsi="Times New Roman"/>
                <w:b/>
                <w:bCs/>
                <w:sz w:val="20"/>
                <w:szCs w:val="20"/>
              </w:rPr>
              <w:t xml:space="preserve">Detail</w:t>
            </w:r>
          </w:p>
        </w:tc>
      </w:tr>
      <w:tr>
        <w:tc>
          <w:tcPr>
            <w:tcW w:type="dxa" w:w="2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Sumber fitur</w:t>
            </w:r>
          </w:p>
        </w:tc>
        <w:tc>
          <w:tcPr>
            <w:tcW w:type="dxa" w:w="657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World Bank Global Economic Monitor (raw_data_master.csv)</w:t>
            </w:r>
          </w:p>
        </w:tc>
      </w:tr>
      <w:tr>
        <w:tc>
          <w:tcPr>
            <w:tcW w:type="dxa" w:w="2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Sumber ground truth</w:t>
            </w:r>
          </w:p>
        </w:tc>
        <w:tc>
          <w:tcPr>
            <w:tcW w:type="dxa" w:w="657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Basis data krisis per negara-tahun bergaya IMF/Laeven-Valencia (ground_truth_imf.csv)</w:t>
            </w:r>
          </w:p>
        </w:tc>
      </w:tr>
      <w:tr>
        <w:tc>
          <w:tcPr>
            <w:tcW w:type="dxa" w:w="2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Observasi</w:t>
            </w:r>
          </w:p>
        </w:tc>
        <w:tc>
          <w:tcPr>
            <w:tcW w:type="dxa" w:w="657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1.715 baris (49 negara × 35 tahun)</w:t>
            </w:r>
          </w:p>
        </w:tc>
      </w:tr>
      <w:tr>
        <w:tc>
          <w:tcPr>
            <w:tcW w:type="dxa" w:w="2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Periode</w:t>
            </w:r>
          </w:p>
        </w:tc>
        <w:tc>
          <w:tcPr>
            <w:tcW w:type="dxa" w:w="657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1990–2024</w:t>
            </w:r>
          </w:p>
        </w:tc>
      </w:tr>
      <w:tr>
        <w:tc>
          <w:tcPr>
            <w:tcW w:type="dxa" w:w="2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Fitur</w:t>
            </w:r>
          </w:p>
        </w:tc>
        <w:tc>
          <w:tcPr>
            <w:tcW w:type="dxa" w:w="657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14 indikator makroekonomi, distandardisasi dengan RobustScaler</w:t>
            </w:r>
          </w:p>
        </w:tc>
      </w:tr>
      <w:tr>
        <w:tc>
          <w:tcPr>
            <w:tcW w:type="dxa" w:w="2500"/>
            <w:tcBorders>
              <w:top w:val="none" w:color="000000" w:sz="4"/>
              <w:left w:val="none"/>
              <w:bottom w:val="single" w:color="000000" w:sz="4"/>
              <w:right w:val="none"/>
            </w:tcBorders>
            <w:vAlign w:val="center"/>
          </w:tcPr>
          <w:p>
            <w:pPr>
              <w:jc w:val="left"/>
            </w:pPr>
            <w:r>
              <w:rPr>
                <w:rFonts w:ascii="Times New Roman" w:cs="Times New Roman" w:eastAsia="Times New Roman" w:hAnsi="Times New Roman"/>
                <w:b w:val="false"/>
                <w:bCs w:val="false"/>
                <w:sz w:val="20"/>
                <w:szCs w:val="20"/>
              </w:rPr>
              <w:t xml:space="preserve">Ground truth</w:t>
            </w:r>
          </w:p>
        </w:tc>
        <w:tc>
          <w:tcPr>
            <w:tcW w:type="dxa" w:w="6570"/>
            <w:tcBorders>
              <w:top w:val="none" w:color="000000" w:sz="4"/>
              <w:left w:val="none"/>
              <w:bottom w:val="single" w:color="000000" w:sz="4"/>
              <w:right w:val="none"/>
            </w:tcBorders>
            <w:vAlign w:val="center"/>
          </w:tcPr>
          <w:p>
            <w:pPr>
              <w:jc w:val="left"/>
            </w:pPr>
            <w:r>
              <w:rPr>
                <w:rFonts w:ascii="Times New Roman" w:cs="Times New Roman" w:eastAsia="Times New Roman" w:hAnsi="Times New Roman"/>
                <w:b w:val="false"/>
                <w:bCs w:val="false"/>
                <w:sz w:val="20"/>
                <w:szCs w:val="20"/>
              </w:rPr>
              <w:t xml:space="preserve">229 observasi krisis (13,4%), tersebar ke 28 episode bernama dan 22 observasi krisis individual tanpa nama episode</w:t>
            </w:r>
          </w:p>
        </w:tc>
      </w:tr>
    </w:tbl>
    <w:p>
      <w:pPr>
        <w:spacing w:after="160"/>
      </w:pPr>
    </w:p>
    <w:p>
      <w:pPr>
        <w:spacing w:after="120"/>
        <w:ind w:firstLine="425"/>
        <w:jc w:val="both"/>
      </w:pPr>
      <w:r>
        <w:rPr>
          <w:rFonts w:ascii="Times New Roman" w:cs="Times New Roman" w:eastAsia="Times New Roman" w:hAnsi="Times New Roman"/>
          <w:sz w:val="22"/>
          <w:szCs w:val="22"/>
        </w:rPr>
        <w:t xml:space="preserve">Empat belas indikator yang digunakan: GDP_Growth, Inflation_CPI, Unemployment, Current_Account_GDP, Reserves_Months_Imports, FDI_Inflows_GDP, Exports_GDP, Imports_GDP, Gross_Savings_GDP, Investment_GDP, Manufacturing_Value, Domestic_Credit_GDP, Broad_Money_Growth, dan Exchange_Depreciation. Nilai tukar tidak dimasukkan sebagai Exchange_Rate (LCU per USD) mentah-mentah, karena skalanya berbeda-beda ekstrem antarnegara dan tidak bermakna langsung sebagai indikator tekanan ekonomi, sehingga diubah menjadi Exchange_Depreciation = pct_change(Exchange_Rate) × 100 per negara, yaitu laju depresiasi/apresiasi tahunan yang sebanding antarnegara.</w:t>
      </w:r>
    </w:p>
    <w:p>
      <w:pPr>
        <w:spacing w:after="120"/>
        <w:ind w:firstLine="425"/>
        <w:jc w:val="both"/>
      </w:pPr>
      <w:r>
        <w:rPr>
          <w:rFonts w:ascii="Times New Roman" w:cs="Times New Roman" w:eastAsia="Times New Roman" w:hAnsi="Times New Roman"/>
          <w:sz w:val="22"/>
          <w:szCs w:val="22"/>
        </w:rPr>
        <w:t xml:space="preserve">Nilai yang hilang ditangani lewat interpolasi linear per negara, dilanjutkan KNNImputer untuk 14 pasangan negara-indikator yang datanya kosong total sepanjang 35 tahun (Nigeria untuk empat indikator neraca perdagangan, dan 10 negara Eurozone untuk Broad_Money_Growth karena indikator itu adalah agregat tingkat kawasan). Seluruh 1.715 baris dipertahankan tanpa ada yang dibuang, agar sejajar dengan lima algoritma lain pada tahap Majority Voting. Fitur distandardisasi dengan RobustScaler (berbasis median/IQR), bukan StandardScaler, karena LOF adalah metode berbasis jarak yang rentan terhadap lonjakan ekstrem (misalnya inflasi di atas 1000% pada episode hiperinflasi). Detail lengkap kode preprocessing ada di Amir/preproccesingDataAmir.ipynb.</w:t>
      </w:r>
    </w:p>
    <w:p>
      <w:pPr>
        <w:spacing w:after="40" w:before="120"/>
        <w:jc w:val="center"/>
      </w:pPr>
      <w:r>
        <w:drawing>
          <wp:inline distT="0" distB="0" distL="0" distR="0">
            <wp:extent cx="57626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3372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2.1. Distribusi 14 indikator setelah RobustScaler.</w:t>
      </w:r>
    </w:p>
    <w:p>
      <w:pPr>
        <w:spacing w:after="120"/>
        <w:ind w:firstLine="425"/>
        <w:jc w:val="both"/>
      </w:pPr>
      <w:r>
        <w:rPr>
          <w:rFonts w:ascii="Times New Roman" w:cs="Times New Roman" w:eastAsia="Times New Roman" w:hAnsi="Times New Roman"/>
          <w:sz w:val="22"/>
          <w:szCs w:val="22"/>
        </w:rPr>
        <w:t xml:space="preserve">Sebagian besar indikator terpusat rapi di sekitar nol, sesuai sifat RobustScaler yang memusatkan data pada median. Tiga kolom (Inflation_CPI, Broad_Money_Growth, dan Exchange_Depreciation) tampil sebagai satu batang tunggal menjulang di dekat nol dengan sumbu-x yang terentang jauh ke kanan — bukti visual bahwa beberapa negara mengalami lonjakan ekstrem (hiperinflasi, devaluasi mendadak). RobustScaler menjaga median dan IQR tidak terganggu oleh titik-titik ini, tetapi nilai ekstremnya sendiri tetap ada dan memengaruhi perhitungan jarak Euclidean pada LOF (lihat §4.5).</w:t>
      </w:r>
    </w:p>
    <w:p>
      <w:pPr>
        <w:spacing w:after="100" w:before="200"/>
      </w:pPr>
      <w:r>
        <w:rPr>
          <w:rFonts w:ascii="Times New Roman" w:cs="Times New Roman" w:eastAsia="Times New Roman" w:hAnsi="Times New Roman"/>
          <w:b/>
          <w:bCs/>
          <w:sz w:val="22"/>
          <w:szCs w:val="22"/>
        </w:rPr>
        <w:t xml:space="preserve">2.3 Metode Analisis</w:t>
      </w:r>
    </w:p>
    <w:p>
      <w:pPr>
        <w:spacing w:after="120"/>
        <w:ind w:firstLine="425"/>
        <w:jc w:val="both"/>
      </w:pPr>
      <w:r>
        <w:rPr>
          <w:rFonts w:ascii="Times New Roman" w:cs="Times New Roman" w:eastAsia="Times New Roman" w:hAnsi="Times New Roman"/>
          <w:sz w:val="22"/>
          <w:szCs w:val="22"/>
        </w:rPr>
        <w:t xml:space="preserve">Algoritma yang dipakai adalah sklearn.neighbors.LocalOutlierFactor dengan novelty=False, yaitu mode transduktif yang dihitung sekaligus pada seluruh 1.715 baris, dengan metrik jarak Euclidean (Minkowski p=2). Nilai n_neighbors dipilih dengan menghitung skor LOF pada rentang k ∈ {5, 10, 15, 20, 30, 50}, kemudian diagregasi lewat nilai maksimum antar-k per titik, mengikuti rekomendasi Breunig et al. (2000). Tidak ada label krisis yang dilibatkan pada langkah ini.</w:t>
      </w:r>
    </w:p>
    <w:p>
      <w:pPr>
        <w:spacing w:after="40" w:before="120"/>
        <w:jc w:val="center"/>
      </w:pPr>
      <w:r>
        <w:drawing>
          <wp:inline distT="0" distB="0" distL="0" distR="0">
            <wp:extent cx="57626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790700"/>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2.2. Mean LOF score dan persentase observasi dengan skor di atas 1,5, dihitung terpisah untuk tiap nilai k.</w:t>
      </w:r>
    </w:p>
    <w:p>
      <w:pPr>
        <w:spacing w:after="120"/>
        <w:ind w:firstLine="425"/>
        <w:jc w:val="both"/>
      </w:pPr>
      <w:r>
        <w:rPr>
          <w:rFonts w:ascii="Times New Roman" w:cs="Times New Roman" w:eastAsia="Times New Roman" w:hAnsi="Times New Roman"/>
          <w:sz w:val="22"/>
          <w:szCs w:val="22"/>
        </w:rPr>
        <w:t xml:space="preserve">Kedua panel naik bertahap seiring k membesar, tanpa ada satu nilai k yang menonjol tajam. Pola naik yang landai ini mendukung keputusan memakai rentang k dan mengambil nilai maksimumnya, bukan memilih satu k tunggal: agregasi maksimum menangkap titik yang menonjol di k manapun tanpa perlu menjatuhkan pilihan pada satu k saja.</w:t>
      </w:r>
    </w:p>
    <w:p>
      <w:pPr>
        <w:spacing w:after="120"/>
        <w:ind w:firstLine="425"/>
        <w:jc w:val="both"/>
      </w:pPr>
      <w:r>
        <w:rPr>
          <w:rFonts w:ascii="Times New Roman" w:cs="Times New Roman" w:eastAsia="Times New Roman" w:hAnsi="Times New Roman"/>
          <w:sz w:val="22"/>
          <w:szCs w:val="22"/>
        </w:rPr>
        <w:t xml:space="preserve">Status anomali ditentukan lewat ambang batas anomaly_score &gt; 1,5. Skor anomali kontinu (anomaly_score) dan prediksi biner (predicted_anomaly) disimpan pada hasil_lof_v2.csv dengan kolom ['economy', 'year', 'anomaly_score', 'predicted_anomaly']. Label crisis_label hanya dilibatkan pada tahap evaluasi (§2.4), setelah skor dan prediksi selesai dihitung — tidak pernah dipakai pada tahap pemilihan parameter, ambang batas, maupun fitting model. Untuk membuktikan hasil bukan kebetulan satu kali fit, prosedur di atas diulang pada 20 subsample stratified 80% dari data (random_state=42, distratifikasi pada crisis_label semata-mata untuk menjaga proporsi krisis), dan ROC-AUC serta F1-Score dilaporkan sebagai rata-rata ± simpangan baku antar subsample.</w:t>
      </w:r>
    </w:p>
    <w:p>
      <w:pPr>
        <w:spacing w:after="100" w:before="200"/>
      </w:pPr>
      <w:r>
        <w:rPr>
          <w:rFonts w:ascii="Times New Roman" w:cs="Times New Roman" w:eastAsia="Times New Roman" w:hAnsi="Times New Roman"/>
          <w:b/>
          <w:bCs/>
          <w:sz w:val="22"/>
          <w:szCs w:val="22"/>
        </w:rPr>
        <w:t xml:space="preserve">2.4 Metrik Evaluasi</w:t>
      </w:r>
    </w:p>
    <w:p>
      <w:pPr>
        <w:spacing w:after="120"/>
        <w:ind w:firstLine="425"/>
        <w:jc w:val="both"/>
      </w:pPr>
      <w:r>
        <w:rPr>
          <w:rFonts w:ascii="Times New Roman" w:cs="Times New Roman" w:eastAsia="Times New Roman" w:hAnsi="Times New Roman"/>
          <w:sz w:val="22"/>
          <w:szCs w:val="22"/>
        </w:rPr>
        <w:t xml:space="preserve">Model dievaluasi terhadap ground truth eksternal ground_truth_imf.csv (229 observasi krisis, 13,4% dari 1.715 baris; mencakup krisis perbankan, mata uang, utang berdaulat per negara-tahun, serta guncangan eksogen COVID-19) menggunakan lima metrik berikut:</w:t>
      </w:r>
    </w:p>
    <w:p>
      <w:pPr>
        <w:pStyle w:val="ListParagraph"/>
        <w:numPr>
          <w:ilvl w:val="0"/>
          <w:numId w:val="5"/>
        </w:numPr>
        <w:spacing w:after="100"/>
        <w:jc w:val="both"/>
      </w:pPr>
      <w:r>
        <w:rPr>
          <w:rFonts w:ascii="Times New Roman" w:cs="Times New Roman" w:eastAsia="Times New Roman" w:hAnsi="Times New Roman"/>
          <w:sz w:val="22"/>
          <w:szCs w:val="22"/>
        </w:rPr>
        <w:t xml:space="preserve">Precision (P = TP/(TP+FP)): proporsi anomali terdeteksi yang benar-benar krisis.</w:t>
      </w:r>
    </w:p>
    <w:p>
      <w:pPr>
        <w:pStyle w:val="ListParagraph"/>
        <w:numPr>
          <w:ilvl w:val="0"/>
          <w:numId w:val="5"/>
        </w:numPr>
        <w:spacing w:after="100"/>
        <w:jc w:val="both"/>
      </w:pPr>
      <w:r>
        <w:rPr>
          <w:rFonts w:ascii="Times New Roman" w:cs="Times New Roman" w:eastAsia="Times New Roman" w:hAnsi="Times New Roman"/>
          <w:sz w:val="22"/>
          <w:szCs w:val="22"/>
        </w:rPr>
        <w:t xml:space="preserve">Recall (R = TP/(TP+FN)): proporsi krisis aktual yang berhasil terdeteksi.</w:t>
      </w:r>
    </w:p>
    <w:p>
      <w:pPr>
        <w:pStyle w:val="ListParagraph"/>
        <w:numPr>
          <w:ilvl w:val="0"/>
          <w:numId w:val="5"/>
        </w:numPr>
        <w:spacing w:after="100"/>
        <w:jc w:val="both"/>
      </w:pPr>
      <w:r>
        <w:rPr>
          <w:rFonts w:ascii="Times New Roman" w:cs="Times New Roman" w:eastAsia="Times New Roman" w:hAnsi="Times New Roman"/>
          <w:sz w:val="22"/>
          <w:szCs w:val="22"/>
        </w:rPr>
        <w:t xml:space="preserve">F1-Score: rata-rata harmonik Precision dan Recall.</w:t>
      </w:r>
    </w:p>
    <w:p>
      <w:pPr>
        <w:pStyle w:val="ListParagraph"/>
        <w:numPr>
          <w:ilvl w:val="0"/>
          <w:numId w:val="5"/>
        </w:numPr>
        <w:spacing w:after="100"/>
        <w:jc w:val="both"/>
      </w:pPr>
      <w:r>
        <w:rPr>
          <w:rFonts w:ascii="Times New Roman" w:cs="Times New Roman" w:eastAsia="Times New Roman" w:hAnsi="Times New Roman"/>
          <w:sz w:val="22"/>
          <w:szCs w:val="22"/>
        </w:rPr>
        <w:t xml:space="preserve">ROC-AUC dan Average Precision: mengukur kemampuan diskriminatif skor LOF secara menyeluruh terhadap anomaly_score kontinu, tidak bergantung pada satu ambang batas tertentu.</w:t>
      </w:r>
    </w:p>
    <w:p>
      <w:pPr>
        <w:spacing w:after="120" w:before="240"/>
      </w:pPr>
      <w:r>
        <w:rPr>
          <w:rFonts w:ascii="Times New Roman" w:cs="Times New Roman" w:eastAsia="Times New Roman" w:hAnsi="Times New Roman"/>
          <w:b/>
          <w:bCs/>
          <w:sz w:val="24"/>
          <w:szCs w:val="24"/>
        </w:rPr>
        <w:t xml:space="preserve">3. HASIL DAN PEMBAHASAN</w:t>
      </w:r>
    </w:p>
    <w:p>
      <w:pPr>
        <w:spacing w:after="100" w:before="200"/>
      </w:pPr>
      <w:r>
        <w:rPr>
          <w:rFonts w:ascii="Times New Roman" w:cs="Times New Roman" w:eastAsia="Times New Roman" w:hAnsi="Times New Roman"/>
          <w:b/>
          <w:bCs/>
          <w:sz w:val="22"/>
          <w:szCs w:val="22"/>
        </w:rPr>
        <w:t xml:space="preserve">3.1 Ringkasan Deteksi</w:t>
      </w:r>
    </w:p>
    <w:p>
      <w:pPr>
        <w:spacing w:after="120"/>
        <w:ind w:firstLine="425"/>
        <w:jc w:val="both"/>
      </w:pPr>
      <w:r>
        <w:rPr>
          <w:rFonts w:ascii="Times New Roman" w:cs="Times New Roman" w:eastAsia="Times New Roman" w:hAnsi="Times New Roman"/>
          <w:sz w:val="22"/>
          <w:szCs w:val="22"/>
        </w:rPr>
        <w:t xml:space="preserve">Dengan konfigurasi pada §2.3, LOF menandai 171 observasi (10,0%) dari 1.715 baris sebagai anomali.</w:t>
      </w:r>
    </w:p>
    <w:p>
      <w:pPr>
        <w:spacing w:after="100" w:before="200"/>
      </w:pPr>
      <w:r>
        <w:rPr>
          <w:rFonts w:ascii="Times New Roman" w:cs="Times New Roman" w:eastAsia="Times New Roman" w:hAnsi="Times New Roman"/>
          <w:b/>
          <w:bCs/>
          <w:sz w:val="22"/>
          <w:szCs w:val="22"/>
        </w:rPr>
        <w:t xml:space="preserve">3.2 Evaluasi terhadap Ground Truth</w:t>
      </w:r>
    </w:p>
    <w:p>
      <w:pPr>
        <w:spacing w:after="60" w:before="120"/>
        <w:jc w:val="center"/>
      </w:pPr>
      <w:r>
        <w:rPr>
          <w:rFonts w:ascii="Times New Roman" w:cs="Times New Roman" w:eastAsia="Times New Roman" w:hAnsi="Times New Roman"/>
          <w:sz w:val="22"/>
          <w:szCs w:val="22"/>
        </w:rPr>
        <w:t xml:space="preserve">Tabel 3.1. Hasil evaluasi LOF terhadap ground truth eksternal.</w:t>
      </w:r>
    </w:p>
    <w:tbl>
      <w:tblPr>
        <w:tblW w:type="dxa" w:w="6070"/>
        <w:tblBorders>
          <w:top w:val="single" w:color="auto" w:sz="4"/>
          <w:left w:val="single" w:color="auto" w:sz="4"/>
          <w:bottom w:val="single" w:color="auto" w:sz="4"/>
          <w:right w:val="single" w:color="auto" w:sz="4"/>
          <w:insideH w:val="single" w:color="auto" w:sz="4"/>
          <w:insideV w:val="single" w:color="auto" w:sz="4"/>
        </w:tblBorders>
      </w:tblPr>
      <w:tblGrid>
        <w:gridCol w:w="3500"/>
        <w:gridCol w:w="2570"/>
      </w:tblGrid>
      <w:tr>
        <w:tc>
          <w:tcPr>
            <w:tcW w:type="dxa" w:w="3500"/>
            <w:tcBorders>
              <w:top w:val="single" w:color="000000" w:sz="4"/>
              <w:left w:val="none"/>
              <w:bottom w:val="single" w:color="000000" w:sz="4"/>
              <w:right w:val="none"/>
            </w:tcBorders>
            <w:shd w:fill="D9D9D9" w:val="clear"/>
            <w:vAlign w:val="center"/>
          </w:tcPr>
          <w:p>
            <w:pPr>
              <w:jc w:val="left"/>
            </w:pPr>
            <w:r>
              <w:rPr>
                <w:rFonts w:ascii="Times New Roman" w:cs="Times New Roman" w:eastAsia="Times New Roman" w:hAnsi="Times New Roman"/>
                <w:b/>
                <w:bCs/>
                <w:sz w:val="20"/>
                <w:szCs w:val="20"/>
              </w:rPr>
              <w:t xml:space="preserve">Metrik</w:t>
            </w:r>
          </w:p>
        </w:tc>
        <w:tc>
          <w:tcPr>
            <w:tcW w:type="dxa" w:w="257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Nilai</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Precision</w:t>
            </w:r>
          </w:p>
        </w:tc>
        <w:tc>
          <w:tcPr>
            <w:tcW w:type="dxa" w:w="257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0,2456</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Recall</w:t>
            </w:r>
          </w:p>
        </w:tc>
        <w:tc>
          <w:tcPr>
            <w:tcW w:type="dxa" w:w="257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0,1834</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F1-Score</w:t>
            </w:r>
          </w:p>
        </w:tc>
        <w:tc>
          <w:tcPr>
            <w:tcW w:type="dxa" w:w="257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0,2100</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ROC-AUC</w:t>
            </w:r>
          </w:p>
        </w:tc>
        <w:tc>
          <w:tcPr>
            <w:tcW w:type="dxa" w:w="257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0,7099</w:t>
            </w:r>
          </w:p>
        </w:tc>
      </w:tr>
      <w:tr>
        <w:tc>
          <w:tcPr>
            <w:tcW w:type="dxa" w:w="3500"/>
            <w:tcBorders>
              <w:top w:val="none" w:color="000000" w:sz="4"/>
              <w:left w:val="none"/>
              <w:bottom w:val="single" w:color="000000" w:sz="4"/>
              <w:right w:val="none"/>
            </w:tcBorders>
            <w:vAlign w:val="center"/>
          </w:tcPr>
          <w:p>
            <w:pPr>
              <w:jc w:val="left"/>
            </w:pPr>
            <w:r>
              <w:rPr>
                <w:rFonts w:ascii="Times New Roman" w:cs="Times New Roman" w:eastAsia="Times New Roman" w:hAnsi="Times New Roman"/>
                <w:b w:val="false"/>
                <w:bCs w:val="false"/>
                <w:sz w:val="20"/>
                <w:szCs w:val="20"/>
              </w:rPr>
              <w:t xml:space="preserve">Average Precision</w:t>
            </w:r>
          </w:p>
        </w:tc>
        <w:tc>
          <w:tcPr>
            <w:tcW w:type="dxa" w:w="257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0,2427</w:t>
            </w:r>
          </w:p>
        </w:tc>
      </w:tr>
    </w:tbl>
    <w:p>
      <w:pPr>
        <w:spacing w:after="160"/>
      </w:pPr>
    </w:p>
    <w:p>
      <w:pPr>
        <w:spacing w:after="60" w:before="120"/>
        <w:jc w:val="center"/>
      </w:pPr>
      <w:r>
        <w:rPr>
          <w:rFonts w:ascii="Times New Roman" w:cs="Times New Roman" w:eastAsia="Times New Roman" w:hAnsi="Times New Roman"/>
          <w:sz w:val="22"/>
          <w:szCs w:val="22"/>
        </w:rPr>
        <w:t xml:space="preserve">Tabel 3.2. Confusion matrix pada ambang batas anomaly_score = 1,5.</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c>
          <w:tcPr>
            <w:tcW w:type="dxa" w:w="30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val="false"/>
                <w:bCs w:val="false"/>
                <w:sz w:val="20"/>
                <w:szCs w:val="20"/>
              </w:rPr>
              <w:t xml:space="preserve"/>
            </w:r>
          </w:p>
        </w:tc>
        <w:tc>
          <w:tcPr>
            <w:tcW w:type="dxa" w:w="25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Prediksi: Normal</w:t>
            </w:r>
          </w:p>
        </w:tc>
        <w:tc>
          <w:tcPr>
            <w:tcW w:type="dxa" w:w="25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Prediksi: Anomali</w:t>
            </w:r>
          </w:p>
        </w:tc>
      </w:tr>
      <w:tr>
        <w:tc>
          <w:tcPr>
            <w:tcW w:type="dxa" w:w="30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bCs/>
                <w:sz w:val="20"/>
                <w:szCs w:val="20"/>
              </w:rPr>
              <w:t xml:space="preserve">Aktual: Normal</w:t>
            </w:r>
          </w:p>
        </w:tc>
        <w:tc>
          <w:tcPr>
            <w:tcW w:type="dxa" w:w="25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TN = 1.357</w:t>
            </w:r>
          </w:p>
        </w:tc>
        <w:tc>
          <w:tcPr>
            <w:tcW w:type="dxa" w:w="25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FP = 129</w:t>
            </w:r>
          </w:p>
        </w:tc>
      </w:tr>
      <w:tr>
        <w:tc>
          <w:tcPr>
            <w:tcW w:type="dxa" w:w="3000"/>
            <w:tcBorders>
              <w:top w:val="none" w:color="000000" w:sz="4"/>
              <w:left w:val="none"/>
              <w:bottom w:val="single" w:color="000000" w:sz="4"/>
              <w:right w:val="none"/>
            </w:tcBorders>
            <w:vAlign w:val="center"/>
          </w:tcPr>
          <w:p>
            <w:pPr>
              <w:jc w:val="left"/>
            </w:pPr>
            <w:r>
              <w:rPr>
                <w:rFonts w:ascii="Times New Roman" w:cs="Times New Roman" w:eastAsia="Times New Roman" w:hAnsi="Times New Roman"/>
                <w:b/>
                <w:bCs/>
                <w:sz w:val="20"/>
                <w:szCs w:val="20"/>
              </w:rPr>
              <w:t xml:space="preserve">Aktual: Krisis</w:t>
            </w:r>
          </w:p>
        </w:tc>
        <w:tc>
          <w:tcPr>
            <w:tcW w:type="dxa" w:w="250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FN = 187</w:t>
            </w:r>
          </w:p>
        </w:tc>
        <w:tc>
          <w:tcPr>
            <w:tcW w:type="dxa" w:w="250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TP = 42</w:t>
            </w:r>
          </w:p>
        </w:tc>
      </w:tr>
    </w:tbl>
    <w:p>
      <w:pPr>
        <w:spacing w:after="160"/>
      </w:pPr>
    </w:p>
    <w:p>
      <w:pPr>
        <w:spacing w:after="40" w:before="120"/>
        <w:jc w:val="center"/>
      </w:pPr>
      <w:r>
        <w:drawing>
          <wp:inline distT="0" distB="0" distL="0" distR="0">
            <wp:extent cx="5762625"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914900"/>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3.1. Confusion matrix, versi visual dari Tabel 3.2.</w:t>
      </w:r>
    </w:p>
    <w:p>
      <w:pPr>
        <w:spacing w:after="120"/>
        <w:ind w:firstLine="425"/>
        <w:jc w:val="both"/>
      </w:pPr>
      <w:r>
        <w:rPr>
          <w:rFonts w:ascii="Times New Roman" w:cs="Times New Roman" w:eastAsia="Times New Roman" w:hAnsi="Times New Roman"/>
          <w:sz w:val="22"/>
          <w:szCs w:val="22"/>
        </w:rPr>
        <w:t xml:space="preserve">Blok kiri atas (TN = 1.357) jauh lebih besar dari tiga blok lain digabung, wajar mengingat 86,6% data memang berlabel normal. Blok kanan bawah (TP = 42) adalah blok terkecil: dari 229 krisis aktual, LOF cuma menandai 42 dengan skor di atas ambang batas.</w:t>
      </w:r>
    </w:p>
    <w:p>
      <w:pPr>
        <w:spacing w:after="40" w:before="120"/>
        <w:jc w:val="center"/>
      </w:pPr>
      <w:r>
        <w:drawing>
          <wp:inline distT="0" distB="0" distL="0" distR="0">
            <wp:extent cx="57626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14312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3.2. ROC curve dan Precision-Recall curve, dihitung dari anomaly_score kontinu (tidak bergantung ambang batas 1,5).</w:t>
      </w:r>
    </w:p>
    <w:p>
      <w:pPr>
        <w:spacing w:after="120"/>
        <w:ind w:firstLine="425"/>
        <w:jc w:val="both"/>
      </w:pPr>
      <w:r>
        <w:rPr>
          <w:rFonts w:ascii="Times New Roman" w:cs="Times New Roman" w:eastAsia="Times New Roman" w:hAnsi="Times New Roman"/>
          <w:sz w:val="22"/>
          <w:szCs w:val="22"/>
        </w:rPr>
        <w:t xml:space="preserve">Kurva ROC berada konsisten di atas garis diagonal acak di seluruh rentang False Positive Rate, mengonfirmasi anomaly_score punya kemampuan membedakan krisis dan normal secara nyata, meski tidak tajam (AUC 0,7099). Kurva Precision-Recall menunjukkan pola yang lebih keras: precision anjlok cepat begitu recall melewati sekitar 0,1, dari mendekati 0,8 turun ke kisaran 0,25–0,3 dan bertahan di situ. Ini berarti LOF cukup percaya diri hanya pada segelintir krisis dengan skor paling ekstrem; begitu ambang batas diturunkan untuk menangkap krisis yang lebih halus, jumlah observasi normal yang ikut tertangkap naik jauh lebih cepat.</w:t>
      </w:r>
    </w:p>
    <w:p>
      <w:pPr>
        <w:spacing w:after="40" w:before="120"/>
        <w:jc w:val="center"/>
      </w:pPr>
      <w:r>
        <w:drawing>
          <wp:inline distT="0" distB="0" distL="0" distR="0">
            <wp:extent cx="57626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14312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3.3. Distribusi anomaly_score untuk observasi normal dan krisis (kiri), dan boxplot pada rentang di bawah 3 (kanan).</w:t>
      </w:r>
    </w:p>
    <w:p>
      <w:pPr>
        <w:spacing w:after="120"/>
        <w:ind w:firstLine="425"/>
        <w:jc w:val="both"/>
      </w:pPr>
      <w:r>
        <w:rPr>
          <w:rFonts w:ascii="Times New Roman" w:cs="Times New Roman" w:eastAsia="Times New Roman" w:hAnsi="Times New Roman"/>
          <w:sz w:val="22"/>
          <w:szCs w:val="22"/>
        </w:rPr>
        <w:t xml:space="preserve">Kedua distribusi tumpang tindih besar di kisaran 1,0 sampai 1,3. Median krisis sedikit lebih tinggi dari median normal, tetapi jangkauannya tetap banyak beririsan, bukan dua kelompok yang terpisah bersih. Tumpang tindih inilah yang menjelaskan kenapa precision dan recall tidak tinggi meski ROC-AUC di atas acak.</w:t>
      </w:r>
    </w:p>
    <w:p>
      <w:pPr>
        <w:spacing w:after="120"/>
        <w:ind w:firstLine="425"/>
        <w:jc w:val="both"/>
      </w:pPr>
      <w:r>
        <w:rPr>
          <w:rFonts w:ascii="Times New Roman" w:cs="Times New Roman" w:eastAsia="Times New Roman" w:hAnsi="Times New Roman"/>
          <w:sz w:val="22"/>
          <w:szCs w:val="22"/>
        </w:rPr>
        <w:t xml:space="preserve">Robustness check (20 subsample stratified 80%, random_state=42) memberikan ROC-AUC = 0,7068 ± 0,0106 dan F1-Score = 0,2265 ± 0,0153. Sebaran yang sangat ketat ini menunjukkan hasil pada Tabel 3.1 stabil pada subsample data yang berbeda-beda, bukan hasil kebetulan satu kali fit.</w:t>
      </w:r>
    </w:p>
    <w:p>
      <w:pPr>
        <w:spacing w:after="40" w:before="120"/>
        <w:jc w:val="center"/>
      </w:pPr>
      <w:r>
        <w:drawing>
          <wp:inline distT="0" distB="0" distL="0" distR="0">
            <wp:extent cx="57626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790700"/>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3.4. Precision, Recall, F1-Score, dan jumlah predicted_anomaly pada berbagai nilai ambang batas, dengan garis putus-putus menandai ambang batas 1,5 yang dipakai.</w:t>
      </w:r>
    </w:p>
    <w:p>
      <w:pPr>
        <w:spacing w:after="120"/>
        <w:ind w:firstLine="425"/>
        <w:jc w:val="both"/>
      </w:pPr>
      <w:r>
        <w:rPr>
          <w:rFonts w:ascii="Times New Roman" w:cs="Times New Roman" w:eastAsia="Times New Roman" w:hAnsi="Times New Roman"/>
          <w:sz w:val="22"/>
          <w:szCs w:val="22"/>
        </w:rPr>
        <w:t xml:space="preserve">Menaikkan ambang batas dari 1,5 ke atas menaikkan precision tapi menjatuhkan recall dan jumlah anomali terdeteksi dengan cepat. Menurunkan ambang batas punya efek sebaliknya. Ambang batas 1,5 dipilih karena dasar literatur (interpretasi skor LOF Breunig), bukan karena titik ini memaksimalkan F1 pada data ini.</w:t>
      </w:r>
    </w:p>
    <w:p>
      <w:pPr>
        <w:spacing w:after="40" w:before="120"/>
        <w:jc w:val="center"/>
      </w:pPr>
      <w:r>
        <w:drawing>
          <wp:inline distT="0" distB="0" distL="0" distR="0">
            <wp:extent cx="57626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019300"/>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3.5. Precision/Recall/F1 pada ambang batas 1,5 (kiri), dan sebaran True Positives vs False Positives pada berbagai ambang batas (kanan, titik merah menandai ambang batas yang dipakai).</w:t>
      </w:r>
    </w:p>
    <w:p>
      <w:pPr>
        <w:spacing w:after="120"/>
        <w:ind w:firstLine="425"/>
        <w:jc w:val="both"/>
      </w:pPr>
      <w:r>
        <w:rPr>
          <w:rFonts w:ascii="Times New Roman" w:cs="Times New Roman" w:eastAsia="Times New Roman" w:hAnsi="Times New Roman"/>
          <w:sz w:val="22"/>
          <w:szCs w:val="22"/>
        </w:rPr>
        <w:t xml:space="preserve">Titik merah pada panel kanan berada di tengah kurva, bukan di ujung mana pun: menggeser ambang batas ke kiri menaikkan TP tapi FP naik jauh lebih cepat karena populasi normal jauh lebih besar, sedangkan menggesernya ke kanan menekan FP tapi TP ikut anjlok.</w:t>
      </w:r>
    </w:p>
    <w:p>
      <w:pPr>
        <w:spacing w:after="100" w:before="200"/>
      </w:pPr>
      <w:r>
        <w:rPr>
          <w:rFonts w:ascii="Times New Roman" w:cs="Times New Roman" w:eastAsia="Times New Roman" w:hAnsi="Times New Roman"/>
          <w:b/>
          <w:bCs/>
          <w:sz w:val="22"/>
          <w:szCs w:val="22"/>
        </w:rPr>
        <w:t xml:space="preserve">3.3 Deteksi per Krisis Historis</w:t>
      </w:r>
    </w:p>
    <w:p>
      <w:pPr>
        <w:spacing w:after="120"/>
        <w:ind w:firstLine="425"/>
        <w:jc w:val="both"/>
      </w:pPr>
      <w:r>
        <w:rPr>
          <w:rFonts w:ascii="Times New Roman" w:cs="Times New Roman" w:eastAsia="Times New Roman" w:hAnsi="Times New Roman"/>
          <w:sz w:val="22"/>
          <w:szCs w:val="22"/>
        </w:rPr>
        <w:t xml:space="preserve">Ground truth eksternal mencakup 28 episode bernama; Tabel 3.3 menyajikan episode dengan jumlah observasi terbanyak.</w:t>
      </w:r>
    </w:p>
    <w:p>
      <w:pPr>
        <w:spacing w:after="60" w:before="120"/>
        <w:jc w:val="center"/>
      </w:pPr>
      <w:r>
        <w:rPr>
          <w:rFonts w:ascii="Times New Roman" w:cs="Times New Roman" w:eastAsia="Times New Roman" w:hAnsi="Times New Roman"/>
          <w:sz w:val="22"/>
          <w:szCs w:val="22"/>
        </w:rPr>
        <w:t xml:space="preserve">Tabel 3.3. Detection rate LOF pada tujuh episode krisis dengan jumlah observasi terbanyak.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00"/>
      </w:tblGrid>
      <w:tr>
        <w:tc>
          <w:tcPr>
            <w:tcW w:type="dxa" w:w="3500"/>
            <w:tcBorders>
              <w:top w:val="single" w:color="000000" w:sz="4"/>
              <w:left w:val="none"/>
              <w:bottom w:val="single" w:color="000000" w:sz="4"/>
              <w:right w:val="none"/>
            </w:tcBorders>
            <w:shd w:fill="D9D9D9" w:val="clear"/>
            <w:vAlign w:val="center"/>
          </w:tcPr>
          <w:p>
            <w:pPr>
              <w:jc w:val="left"/>
            </w:pPr>
            <w:r>
              <w:rPr>
                <w:rFonts w:ascii="Times New Roman" w:cs="Times New Roman" w:eastAsia="Times New Roman" w:hAnsi="Times New Roman"/>
                <w:b/>
                <w:bCs/>
                <w:sz w:val="20"/>
                <w:szCs w:val="20"/>
              </w:rPr>
              <w:t xml:space="preserve">Krisis</w:t>
            </w:r>
          </w:p>
        </w:tc>
        <w:tc>
          <w:tcPr>
            <w:tcW w:type="dxa" w:w="18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Observasi</w:t>
            </w:r>
          </w:p>
        </w:tc>
        <w:tc>
          <w:tcPr>
            <w:tcW w:type="dxa" w:w="18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Terdeteksi</w:t>
            </w:r>
          </w:p>
        </w:tc>
        <w:tc>
          <w:tcPr>
            <w:tcW w:type="dxa" w:w="19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Detection Rate</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COVID-19 Global Shock</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49</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14</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28,6%</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Global Financial Crisis</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47</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6,4%</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Asian Financial Crisis</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19</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6</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31,6%</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Nigerian Banking Crisis</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9</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2</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22,2%</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Transition Banking Crisis</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8</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0</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0,0%</w:t>
            </w:r>
          </w:p>
        </w:tc>
      </w:tr>
      <w:tr>
        <w:tc>
          <w:tcPr>
            <w:tcW w:type="dxa" w:w="35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Collor Plan / Banking Crisis (Brasil)</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18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100,0%</w:t>
            </w:r>
          </w:p>
        </w:tc>
      </w:tr>
      <w:tr>
        <w:tc>
          <w:tcPr>
            <w:tcW w:type="dxa" w:w="3500"/>
            <w:tcBorders>
              <w:top w:val="none" w:color="000000" w:sz="4"/>
              <w:left w:val="none"/>
              <w:bottom w:val="single" w:color="000000" w:sz="4"/>
              <w:right w:val="none"/>
            </w:tcBorders>
            <w:vAlign w:val="center"/>
          </w:tcPr>
          <w:p>
            <w:pPr>
              <w:jc w:val="left"/>
            </w:pPr>
            <w:r>
              <w:rPr>
                <w:rFonts w:ascii="Times New Roman" w:cs="Times New Roman" w:eastAsia="Times New Roman" w:hAnsi="Times New Roman"/>
                <w:b w:val="false"/>
                <w:bCs w:val="false"/>
                <w:sz w:val="20"/>
                <w:szCs w:val="20"/>
              </w:rPr>
              <w:t xml:space="preserve">Argentine Crisis</w:t>
            </w:r>
          </w:p>
        </w:tc>
        <w:tc>
          <w:tcPr>
            <w:tcW w:type="dxa" w:w="180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180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2</w:t>
            </w:r>
          </w:p>
        </w:tc>
        <w:tc>
          <w:tcPr>
            <w:tcW w:type="dxa" w:w="190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66,7%</w:t>
            </w:r>
          </w:p>
        </w:tc>
      </w:tr>
    </w:tbl>
    <w:p>
      <w:pPr>
        <w:spacing w:after="160"/>
      </w:pPr>
    </w:p>
    <w:p>
      <w:pPr>
        <w:spacing w:after="120"/>
        <w:ind w:firstLine="425"/>
        <w:jc w:val="both"/>
      </w:pPr>
      <w:r>
        <w:rPr>
          <w:rFonts w:ascii="Times New Roman" w:cs="Times New Roman" w:eastAsia="Times New Roman" w:hAnsi="Times New Roman"/>
          <w:sz w:val="22"/>
          <w:szCs w:val="22"/>
        </w:rPr>
        <w:t xml:space="preserve">Pola yang muncul konsisten dengan sifat LOF sebagai detektor kerapatan lokal: krisis yang bersifat regional/idiosinkratik (Collor Plan, Argentine Crisis, Asian Financial Crisis) memiliki detection rate jauh lebih tinggi karena negara-negara terdampak menyimpang jauh dari peer group-nya. Sebaliknya, GFC (krisis yang berdampak merata secara global) paling sulit terdeteksi (6,4%) karena kerapatan lokal tiap titik tidak menurun signifikan relatif terhadap tetangganya ketika seluruh tetangga ikut terdampak bersamaan; skor rata-rata pada baris yang lolos deteksi hanya 1,25, jauh di bawah ambang batas 1,5.</w:t>
      </w:r>
    </w:p>
    <w:p>
      <w:pPr>
        <w:spacing w:after="40" w:before="120"/>
        <w:jc w:val="center"/>
      </w:pPr>
      <w:r>
        <w:drawing>
          <wp:inline distT="0" distB="0" distL="0" distR="0">
            <wp:extent cx="576262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35267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3.6. Detection rate (kiri) dan rata-rata anomaly_score (kanan) untuk 10 episode krisis dengan jumlah observasi terbanyak.</w:t>
      </w:r>
    </w:p>
    <w:p>
      <w:pPr>
        <w:spacing w:after="120"/>
        <w:ind w:firstLine="425"/>
        <w:jc w:val="both"/>
      </w:pPr>
      <w:r>
        <w:rPr>
          <w:rFonts w:ascii="Times New Roman" w:cs="Times New Roman" w:eastAsia="Times New Roman" w:hAnsi="Times New Roman"/>
          <w:sz w:val="22"/>
          <w:szCs w:val="22"/>
        </w:rPr>
        <w:t xml:space="preserve">Panel kanan menyingkap sesuatu yang tidak terlihat dari detection rate saja: Real Plan Banking Crisis (Brasil) punya rata-rata anomaly_score 6,364, jauh melampaui episode lain, padahal detection rate-nya cuma 20,0% (1 dari 5 baris). Ini terjadi karena rata-rata sederhana gampang terseret oleh satu nilai ekstrem, konsisten dengan sejarah hiperinflasi Brasil sebelum Real Plan 1994.</w:t>
      </w:r>
    </w:p>
    <w:p>
      <w:pPr>
        <w:spacing w:after="100" w:before="200"/>
      </w:pPr>
      <w:r>
        <w:rPr>
          <w:rFonts w:ascii="Times New Roman" w:cs="Times New Roman" w:eastAsia="Times New Roman" w:hAnsi="Times New Roman"/>
          <w:b/>
          <w:bCs/>
          <w:sz w:val="22"/>
          <w:szCs w:val="22"/>
        </w:rPr>
        <w:t xml:space="preserve">3.4 Top 10 Negara dengan Anomali Terbanyak</w:t>
      </w:r>
    </w:p>
    <w:p>
      <w:pPr>
        <w:spacing w:after="60" w:before="120"/>
        <w:jc w:val="center"/>
      </w:pPr>
      <w:r>
        <w:rPr>
          <w:rFonts w:ascii="Times New Roman" w:cs="Times New Roman" w:eastAsia="Times New Roman" w:hAnsi="Times New Roman"/>
          <w:sz w:val="22"/>
          <w:szCs w:val="22"/>
        </w:rPr>
        <w:t xml:space="preserve">Tabel 3.4. Sepuluh negara dengan jumlah anomali terdeteksi terbanyak.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900"/>
        <w:gridCol w:w="2400"/>
      </w:tblGrid>
      <w:tr>
        <w:tc>
          <w:tcPr>
            <w:tcW w:type="dxa" w:w="9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No.</w:t>
            </w:r>
          </w:p>
        </w:tc>
        <w:tc>
          <w:tcPr>
            <w:tcW w:type="dxa" w:w="3200"/>
            <w:tcBorders>
              <w:top w:val="single" w:color="000000" w:sz="4"/>
              <w:left w:val="none"/>
              <w:bottom w:val="single" w:color="000000" w:sz="4"/>
              <w:right w:val="none"/>
            </w:tcBorders>
            <w:shd w:fill="D9D9D9" w:val="clear"/>
            <w:vAlign w:val="center"/>
          </w:tcPr>
          <w:p>
            <w:pPr>
              <w:jc w:val="left"/>
            </w:pPr>
            <w:r>
              <w:rPr>
                <w:rFonts w:ascii="Times New Roman" w:cs="Times New Roman" w:eastAsia="Times New Roman" w:hAnsi="Times New Roman"/>
                <w:b/>
                <w:bCs/>
                <w:sz w:val="20"/>
                <w:szCs w:val="20"/>
              </w:rPr>
              <w:t xml:space="preserve">Negara</w:t>
            </w:r>
          </w:p>
        </w:tc>
        <w:tc>
          <w:tcPr>
            <w:tcW w:type="dxa" w:w="19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Kode</w:t>
            </w:r>
          </w:p>
        </w:tc>
        <w:tc>
          <w:tcPr>
            <w:tcW w:type="dxa" w:w="2400"/>
            <w:tcBorders>
              <w:top w:val="single" w:color="000000" w:sz="4"/>
              <w:left w:val="none"/>
              <w:bottom w:val="single" w:color="000000" w:sz="4"/>
              <w:right w:val="none"/>
            </w:tcBorders>
            <w:shd w:fill="D9D9D9" w:val="clear"/>
            <w:vAlign w:val="center"/>
          </w:tcPr>
          <w:p>
            <w:pPr>
              <w:jc w:val="center"/>
            </w:pPr>
            <w:r>
              <w:rPr>
                <w:rFonts w:ascii="Times New Roman" w:cs="Times New Roman" w:eastAsia="Times New Roman" w:hAnsi="Times New Roman"/>
                <w:b/>
                <w:bCs/>
                <w:sz w:val="20"/>
                <w:szCs w:val="20"/>
              </w:rPr>
              <w:t xml:space="preserve">Jumlah Anomali</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Arab Saudi</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SAU</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14</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2</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Hongaria</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HUN</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11</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3</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Belanda</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NLD</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9</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4</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Irlandia</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IRL</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9</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5</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Rusia</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RUS</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9</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6</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Nigeria</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NGA</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7</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7</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Brasil</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BRA</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6</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8</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Swiss</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CHE</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6</w:t>
            </w:r>
          </w:p>
        </w:tc>
      </w:tr>
      <w:tr>
        <w:tc>
          <w:tcPr>
            <w:tcW w:type="dxa" w:w="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9</w:t>
            </w:r>
          </w:p>
        </w:tc>
        <w:tc>
          <w:tcPr>
            <w:tcW w:type="dxa" w:w="3200"/>
            <w:tcBorders>
              <w:top w:val="none" w:color="000000" w:sz="4"/>
              <w:left w:val="none"/>
              <w:bottom w:val="none" w:color="000000" w:sz="4"/>
              <w:right w:val="none"/>
            </w:tcBorders>
            <w:vAlign w:val="center"/>
          </w:tcPr>
          <w:p>
            <w:pPr>
              <w:jc w:val="left"/>
            </w:pPr>
            <w:r>
              <w:rPr>
                <w:rFonts w:ascii="Times New Roman" w:cs="Times New Roman" w:eastAsia="Times New Roman" w:hAnsi="Times New Roman"/>
                <w:b w:val="false"/>
                <w:bCs w:val="false"/>
                <w:sz w:val="20"/>
                <w:szCs w:val="20"/>
              </w:rPr>
              <w:t xml:space="preserve">Argentina</w:t>
            </w:r>
          </w:p>
        </w:tc>
        <w:tc>
          <w:tcPr>
            <w:tcW w:type="dxa" w:w="19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ARG</w:t>
            </w:r>
          </w:p>
        </w:tc>
        <w:tc>
          <w:tcPr>
            <w:tcW w:type="dxa" w:w="2400"/>
            <w:tcBorders>
              <w:top w:val="none" w:color="000000" w:sz="4"/>
              <w:left w:val="none"/>
              <w:bottom w:val="non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6</w:t>
            </w:r>
          </w:p>
        </w:tc>
      </w:tr>
      <w:tr>
        <w:tc>
          <w:tcPr>
            <w:tcW w:type="dxa" w:w="90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10</w:t>
            </w:r>
          </w:p>
        </w:tc>
        <w:tc>
          <w:tcPr>
            <w:tcW w:type="dxa" w:w="3200"/>
            <w:tcBorders>
              <w:top w:val="none" w:color="000000" w:sz="4"/>
              <w:left w:val="none"/>
              <w:bottom w:val="single" w:color="000000" w:sz="4"/>
              <w:right w:val="none"/>
            </w:tcBorders>
            <w:vAlign w:val="center"/>
          </w:tcPr>
          <w:p>
            <w:pPr>
              <w:jc w:val="left"/>
            </w:pPr>
            <w:r>
              <w:rPr>
                <w:rFonts w:ascii="Times New Roman" w:cs="Times New Roman" w:eastAsia="Times New Roman" w:hAnsi="Times New Roman"/>
                <w:b w:val="false"/>
                <w:bCs w:val="false"/>
                <w:sz w:val="20"/>
                <w:szCs w:val="20"/>
              </w:rPr>
              <w:t xml:space="preserve">Rumania</w:t>
            </w:r>
          </w:p>
        </w:tc>
        <w:tc>
          <w:tcPr>
            <w:tcW w:type="dxa" w:w="190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ROU</w:t>
            </w:r>
          </w:p>
        </w:tc>
        <w:tc>
          <w:tcPr>
            <w:tcW w:type="dxa" w:w="2400"/>
            <w:tcBorders>
              <w:top w:val="none" w:color="000000" w:sz="4"/>
              <w:left w:val="none"/>
              <w:bottom w:val="single" w:color="000000" w:sz="4"/>
              <w:right w:val="none"/>
            </w:tcBorders>
            <w:vAlign w:val="center"/>
          </w:tcPr>
          <w:p>
            <w:pPr>
              <w:jc w:val="center"/>
            </w:pPr>
            <w:r>
              <w:rPr>
                <w:rFonts w:ascii="Times New Roman" w:cs="Times New Roman" w:eastAsia="Times New Roman" w:hAnsi="Times New Roman"/>
                <w:b w:val="false"/>
                <w:bCs w:val="false"/>
                <w:sz w:val="20"/>
                <w:szCs w:val="20"/>
              </w:rPr>
              <w:t xml:space="preserve">6</w:t>
            </w:r>
          </w:p>
        </w:tc>
      </w:tr>
    </w:tbl>
    <w:p>
      <w:pPr>
        <w:spacing w:after="160"/>
      </w:pPr>
    </w:p>
    <w:p>
      <w:pPr>
        <w:spacing w:after="120"/>
        <w:ind w:firstLine="425"/>
        <w:jc w:val="both"/>
      </w:pPr>
      <w:r>
        <w:rPr>
          <w:rFonts w:ascii="Times New Roman" w:cs="Times New Roman" w:eastAsia="Times New Roman" w:hAnsi="Times New Roman"/>
          <w:sz w:val="22"/>
          <w:szCs w:val="22"/>
        </w:rPr>
        <w:t xml:space="preserve">Negara berbasis komoditas/migas (Arab Saudi, Nigeria) dan ekonomi yang sangat terbuka (Irlandia, Belanda) mendominasi daftar ini. Analisis lebih dalam menunjukkan bahwa seluruh 14 anomali Arab Saudi adalah false positive (tidak satu pun bertepatan dengan tahun krisis pada ground truth), mengonfirmasi bahwa negara ini ditandai anomali karena profil struktural yang memang berbeda dari mayoritas populasi, bukan karena mengalami krisis.</w:t>
      </w:r>
    </w:p>
    <w:p>
      <w:pPr>
        <w:spacing w:after="120"/>
        <w:ind w:firstLine="425"/>
        <w:jc w:val="both"/>
      </w:pPr>
      <w:r>
        <w:rPr>
          <w:rFonts w:ascii="Times New Roman" w:cs="Times New Roman" w:eastAsia="Times New Roman" w:hAnsi="Times New Roman"/>
          <w:sz w:val="22"/>
          <w:szCs w:val="22"/>
        </w:rPr>
        <w:t xml:space="preserve">Skor tertinggi secara keseluruhan dipegang Peru tahun 1990 (anomaly_score = 103,3), bertepatan dengan inflasi riil 7.481,7% (episode hiperinflasi era Fujishock). Baris ini berlabel crisis_label = 0 karena cakupan ground_truth_imf.csv terbatas pada krisis perbankan/mata uang/utang berdaulat dan COVID-19, tidak mencakup episode hiperinflasi murni: sebuah keterbatasan pada cakupan ground truth, bukan kesalahan model LOF. Temuan menarik lain: delapan negara pendiri Eurozone (Austria, Belgia, Jerman, Spanyol, Prancis, Italia, Belanda, Portugal) muncul bersamaan sebagai anomali pada tahun 1999, tahun peluncuran mata uang Euro — LOF menangkap structural break riil (konvergensi kurs, kredit, dan suku bunga menjelang Uni Moneter Eropa) yang tidak terdaftar sebagai “krisis” pada ground truth.</w:t>
      </w:r>
    </w:p>
    <w:p>
      <w:pPr>
        <w:spacing w:after="40" w:before="120"/>
        <w:jc w:val="center"/>
      </w:pPr>
      <w:r>
        <w:drawing>
          <wp:inline distT="0" distB="0" distL="0" distR="0">
            <wp:extent cx="57626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247900"/>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3.7. Top 15 negara berdasarkan jumlah anomali terdeteksi (kiri), dan hubungan antara rata-rata anomaly_score dengan jumlah anomali per negara (kanan).</w:t>
      </w:r>
    </w:p>
    <w:p>
      <w:pPr>
        <w:spacing w:after="120"/>
        <w:ind w:firstLine="425"/>
        <w:jc w:val="both"/>
      </w:pPr>
      <w:r>
        <w:rPr>
          <w:rFonts w:ascii="Times New Roman" w:cs="Times New Roman" w:eastAsia="Times New Roman" w:hAnsi="Times New Roman"/>
          <w:sz w:val="22"/>
          <w:szCs w:val="22"/>
        </w:rPr>
        <w:t xml:space="preserve">Panel kanan memisahkan dua pola berbeda: Arab Saudi, Hongaria, Belanda, dan Irlandia punya jumlah anomali terbanyak tapi rata-rata skornya rendah (di bawah 1,5), sedangkan Peru dan Brasil punya jumlah anomali yang jauh lebih sedikit tapi rata-rata skornya ekstrem (di atas 4,0), didorong oleh episode hiperinflasi tunggal yang sangat menonjol. Rusia berada di posisi tengah, dengan rata-rata skor sekitar 2,8.</w:t>
      </w:r>
    </w:p>
    <w:p>
      <w:pPr>
        <w:spacing w:after="100" w:before="200"/>
      </w:pPr>
      <w:r>
        <w:rPr>
          <w:rFonts w:ascii="Times New Roman" w:cs="Times New Roman" w:eastAsia="Times New Roman" w:hAnsi="Times New Roman"/>
          <w:b/>
          <w:bCs/>
          <w:sz w:val="22"/>
          <w:szCs w:val="22"/>
        </w:rPr>
        <w:t xml:space="preserve">3.5 Analisis dan Interpretasi</w:t>
      </w:r>
    </w:p>
    <w:p>
      <w:pPr>
        <w:spacing w:after="4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371850"/>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3.8. Rata-rata anomaly_score per tahun (atas), dan perbandingan persentase anomali terdeteksi dengan persentase krisis ground truth per tahun (bawah).</w:t>
      </w:r>
    </w:p>
    <w:p>
      <w:pPr>
        <w:spacing w:after="120"/>
        <w:ind w:firstLine="425"/>
        <w:jc w:val="both"/>
      </w:pPr>
      <w:r>
        <w:rPr>
          <w:rFonts w:ascii="Times New Roman" w:cs="Times New Roman" w:eastAsia="Times New Roman" w:hAnsi="Times New Roman"/>
          <w:sz w:val="22"/>
          <w:szCs w:val="22"/>
        </w:rPr>
        <w:t xml:space="preserve">Panel atas menunjukkan lonjakan tajam ke hampir 4,9 pada tahun 1990, didorong oleh skor ekstrem Peru yang dibahas di §3.4, bukan pola tahun 1990 secara umum. Panel bawah memperlihatkan bahwa persentase deteksi dan persentase ground truth tidak selalu bergerak searah: pada periode 2008–2012 (mencakup GFC dan Krisis Utang Eropa), persentase ground truth krisis cukup tinggi tapi persentase deteksi tetap rendah, mengonfirmasi kelemahan LOF pada krisis yang berlangsung lama dan berdampak merata. Sebaliknya di tahun 1990 dan 1999, persentase deteksi melampaui persentase ground truth.</w:t>
      </w:r>
    </w:p>
    <w:p>
      <w:pPr>
        <w:spacing w:after="120"/>
        <w:ind w:firstLine="425"/>
        <w:jc w:val="both"/>
      </w:pPr>
      <w:r>
        <w:rPr>
          <w:rFonts w:ascii="Times New Roman" w:cs="Times New Roman" w:eastAsia="Times New Roman" w:hAnsi="Times New Roman"/>
          <w:sz w:val="22"/>
          <w:szCs w:val="22"/>
        </w:rPr>
        <w:t xml:space="preserve">Karena data punya 14 dimensi, dua teknik reduksi dimensi dipakai untuk melihat sebaran krisis dan prediksi LOF secara visual.</w:t>
      </w:r>
    </w:p>
    <w:p>
      <w:pPr>
        <w:spacing w:after="40" w:before="120"/>
        <w:jc w:val="center"/>
      </w:pPr>
      <w:r>
        <w:drawing>
          <wp:inline distT="0" distB="0" distL="0" distR="0">
            <wp:extent cx="57626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21932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3.9. Proyeksi PCA dua dimensi, diwarnai berdasarkan ground truth (kiri) dan prediksi LOF (kanan).</w:t>
      </w:r>
    </w:p>
    <w:p>
      <w:pPr>
        <w:spacing w:after="120"/>
        <w:ind w:firstLine="425"/>
        <w:jc w:val="both"/>
      </w:pPr>
      <w:r>
        <w:rPr>
          <w:rFonts w:ascii="Times New Roman" w:cs="Times New Roman" w:eastAsia="Times New Roman" w:hAnsi="Times New Roman"/>
          <w:sz w:val="22"/>
          <w:szCs w:val="22"/>
        </w:rPr>
        <w:t xml:space="preserve">PC1 dan PC2 hanya menjelaskan 52,8% varians total. Pada panel kiri, titik krisis tersebar di hampir seluruh area plot, tidak membentuk klaster terpisah dari titik normal. Pada panel kanan, titik yang ditandai LOF sebagai anomali cenderung lebih banyak muncul di area pinggiran sebaran data, konsisten dengan cara kerja LOF.</w:t>
      </w:r>
    </w:p>
    <w:p>
      <w:pPr>
        <w:spacing w:after="40" w:before="120"/>
        <w:jc w:val="center"/>
      </w:pPr>
      <w:r>
        <w:drawing>
          <wp:inline distT="0" distB="0" distL="0" distR="0">
            <wp:extent cx="5762625"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5314950"/>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3.10. Proyeksi PCA yang sama, diwarnai berdasarkan nilai anomaly_score (semakin merah semakin tinggi).</w:t>
      </w:r>
    </w:p>
    <w:p>
      <w:pPr>
        <w:spacing w:after="120"/>
        <w:ind w:firstLine="425"/>
        <w:jc w:val="both"/>
      </w:pPr>
      <w:r>
        <w:rPr>
          <w:rFonts w:ascii="Times New Roman" w:cs="Times New Roman" w:eastAsia="Times New Roman" w:hAnsi="Times New Roman"/>
          <w:sz w:val="22"/>
          <w:szCs w:val="22"/>
        </w:rPr>
        <w:t xml:space="preserve">Titik-titik dengan warna paling gelap tersebar di berbagai bagian plot, termasuk di tengah kerumunan utama, bukan cuma di pinggiran — menunjukkan LOF juga menandai titik yang jarang secara lokal meski posisinya di ruang PCA tampak berdekatan dengan titik lain.</w:t>
      </w:r>
    </w:p>
    <w:p>
      <w:pPr>
        <w:spacing w:after="40" w:before="120"/>
        <w:jc w:val="center"/>
      </w:pPr>
      <w:r>
        <w:drawing>
          <wp:inline distT="0" distB="0" distL="0" distR="0">
            <wp:extent cx="57626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21932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3.11. Proyeksi t-SNE dua dimensi, diwarnai berdasarkan ground truth (kiri) dan prediksi LOF (kanan).</w:t>
      </w:r>
    </w:p>
    <w:p>
      <w:pPr>
        <w:spacing w:after="120"/>
        <w:ind w:firstLine="425"/>
        <w:jc w:val="both"/>
      </w:pPr>
      <w:r>
        <w:rPr>
          <w:rFonts w:ascii="Times New Roman" w:cs="Times New Roman" w:eastAsia="Times New Roman" w:hAnsi="Times New Roman"/>
          <w:sz w:val="22"/>
          <w:szCs w:val="22"/>
        </w:rPr>
        <w:t xml:space="preserve">t-SNE memisahkan data menjadi klaster-klaster yang lebih jelas dibanding PCA. Satu klaster kecil di kiri bawah plot didominasi titik krisis. Di luar klaster itu, titik krisis tetap bercampur dengan titik normal di sebagian besar klaster lain, sejalan dengan temuan bahwa LOF hanya efektif pada krisis yang menyimpang tajam dari kelompoknya.</w:t>
      </w:r>
    </w:p>
    <w:p>
      <w:pPr>
        <w:spacing w:after="40" w:before="120"/>
        <w:jc w:val="center"/>
      </w:pPr>
      <w:r>
        <w:drawing>
          <wp:inline distT="0" distB="0" distL="0" distR="0">
            <wp:extent cx="5762625"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532447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Gambar 3.12. Proyeksi t-SNE yang sama, diwarnai berdasarkan nilai anomaly_score.</w:t>
      </w:r>
    </w:p>
    <w:p>
      <w:pPr>
        <w:spacing w:after="120"/>
        <w:ind w:firstLine="425"/>
        <w:jc w:val="both"/>
      </w:pPr>
      <w:r>
        <w:rPr>
          <w:rFonts w:ascii="Times New Roman" w:cs="Times New Roman" w:eastAsia="Times New Roman" w:hAnsi="Times New Roman"/>
          <w:sz w:val="22"/>
          <w:szCs w:val="22"/>
        </w:rPr>
        <w:t xml:space="preserve">Titik dengan skor tinggi tersebar di banyak klaster berbeda, bukan terkonsentrasi di satu klaster saja, konsisten dengan sifat LOF yang menilai keanomalian relatif terhadap tetangga lokal masing-masing klaster.</w:t>
      </w:r>
    </w:p>
    <w:p>
      <w:pPr>
        <w:spacing w:after="80" w:before="120"/>
      </w:pPr>
      <w:r>
        <w:rPr>
          <w:rFonts w:ascii="Times New Roman" w:cs="Times New Roman" w:eastAsia="Times New Roman" w:hAnsi="Times New Roman"/>
          <w:i/>
          <w:iCs/>
          <w:sz w:val="22"/>
          <w:szCs w:val="22"/>
        </w:rPr>
        <w:t xml:space="preserve">Kekuatan</w:t>
      </w:r>
    </w:p>
    <w:p>
      <w:pPr>
        <w:pStyle w:val="ListParagraph"/>
        <w:numPr>
          <w:ilvl w:val="0"/>
          <w:numId w:val="6"/>
        </w:numPr>
        <w:spacing w:after="100"/>
        <w:jc w:val="both"/>
      </w:pPr>
      <w:r>
        <w:rPr>
          <w:rFonts w:ascii="Times New Roman" w:cs="Times New Roman" w:eastAsia="Times New Roman" w:hAnsi="Times New Roman"/>
          <w:sz w:val="22"/>
          <w:szCs w:val="22"/>
        </w:rPr>
        <w:t xml:space="preserve">Deteksi anomali kontekstual/lokal: mampu mengidentifikasi negara/tahun yang anomali dalam konteks peer group regionalnya, bukan hanya outlier global.</w:t>
      </w:r>
    </w:p>
    <w:p>
      <w:pPr>
        <w:pStyle w:val="ListParagraph"/>
        <w:numPr>
          <w:ilvl w:val="0"/>
          <w:numId w:val="6"/>
        </w:numPr>
        <w:spacing w:after="100"/>
        <w:jc w:val="both"/>
      </w:pPr>
      <w:r>
        <w:rPr>
          <w:rFonts w:ascii="Times New Roman" w:cs="Times New Roman" w:eastAsia="Times New Roman" w:hAnsi="Times New Roman"/>
          <w:sz w:val="22"/>
          <w:szCs w:val="22"/>
        </w:rPr>
        <w:t xml:space="preserve">Pemilihan hyperparameter dan ambang batas sepenuhnya tidak bergantung pada label krisis, hanya bergantung pada rentang k dan interpretasi skor LOF dari literatur.</w:t>
      </w:r>
    </w:p>
    <w:p>
      <w:pPr>
        <w:pStyle w:val="ListParagraph"/>
        <w:numPr>
          <w:ilvl w:val="0"/>
          <w:numId w:val="6"/>
        </w:numPr>
        <w:spacing w:after="100"/>
        <w:jc w:val="both"/>
      </w:pPr>
      <w:r>
        <w:rPr>
          <w:rFonts w:ascii="Times New Roman" w:cs="Times New Roman" w:eastAsia="Times New Roman" w:hAnsi="Times New Roman"/>
          <w:sz w:val="22"/>
          <w:szCs w:val="22"/>
        </w:rPr>
        <w:t xml:space="preserve">Robustness check membuktikan hasil stabil (ROC-AUC 0,7068 ± 0,0106 antar 20 subsample), bukan artefak satu kali fit.</w:t>
      </w:r>
    </w:p>
    <w:p>
      <w:pPr>
        <w:pStyle w:val="ListParagraph"/>
        <w:numPr>
          <w:ilvl w:val="0"/>
          <w:numId w:val="6"/>
        </w:numPr>
        <w:spacing w:after="100"/>
        <w:jc w:val="both"/>
      </w:pPr>
      <w:r>
        <w:rPr>
          <w:rFonts w:ascii="Times New Roman" w:cs="Times New Roman" w:eastAsia="Times New Roman" w:hAnsi="Times New Roman"/>
          <w:sz w:val="22"/>
          <w:szCs w:val="22"/>
        </w:rPr>
        <w:t xml:space="preserve">Mampu menangkap structural break ekonomi riil yang tidak selalu terdaftar sebagai “krisis” pada ground truth, misalnya lonjakan anomali serentak pada negara-negara pendiri Eurozone tahun 1999.</w:t>
      </w:r>
    </w:p>
    <w:p>
      <w:pPr>
        <w:spacing w:after="80" w:before="120"/>
      </w:pPr>
      <w:r>
        <w:rPr>
          <w:rFonts w:ascii="Times New Roman" w:cs="Times New Roman" w:eastAsia="Times New Roman" w:hAnsi="Times New Roman"/>
          <w:i/>
          <w:iCs/>
          <w:sz w:val="22"/>
          <w:szCs w:val="22"/>
        </w:rPr>
        <w:t xml:space="preserve">Keterbatasan</w:t>
      </w:r>
    </w:p>
    <w:p>
      <w:pPr>
        <w:pStyle w:val="ListParagraph"/>
        <w:numPr>
          <w:ilvl w:val="0"/>
          <w:numId w:val="7"/>
        </w:numPr>
        <w:spacing w:after="100"/>
        <w:jc w:val="both"/>
      </w:pPr>
      <w:r>
        <w:rPr>
          <w:rFonts w:ascii="Times New Roman" w:cs="Times New Roman" w:eastAsia="Times New Roman" w:hAnsi="Times New Roman"/>
          <w:sz w:val="22"/>
          <w:szCs w:val="22"/>
        </w:rPr>
        <w:t xml:space="preserve">Tidak mendeteksi krisis global merata secara baik: GFC hanya terdeteksi 6,4% karena seluruh negara terdampak hampir bersamaan.</w:t>
      </w:r>
    </w:p>
    <w:p>
      <w:pPr>
        <w:pStyle w:val="ListParagraph"/>
        <w:numPr>
          <w:ilvl w:val="0"/>
          <w:numId w:val="7"/>
        </w:numPr>
        <w:spacing w:after="100"/>
        <w:jc w:val="both"/>
      </w:pPr>
      <w:r>
        <w:rPr>
          <w:rFonts w:ascii="Times New Roman" w:cs="Times New Roman" w:eastAsia="Times New Roman" w:hAnsi="Times New Roman"/>
          <w:sz w:val="22"/>
          <w:szCs w:val="22"/>
        </w:rPr>
        <w:t xml:space="preserve">Bias terhadap negara dengan profil struktural ekstrem: negara petrostate (Arab Saudi, 14 dari 14 anomali adalah false positive) dan ekonomi sangat terbuka sering ditandai anomali karena karakteristik strukturalnya, bukan karena krisis.</w:t>
      </w:r>
    </w:p>
    <w:p>
      <w:pPr>
        <w:pStyle w:val="ListParagraph"/>
        <w:numPr>
          <w:ilvl w:val="0"/>
          <w:numId w:val="7"/>
        </w:numPr>
        <w:spacing w:after="100"/>
        <w:jc w:val="both"/>
      </w:pPr>
      <w:r>
        <w:rPr>
          <w:rFonts w:ascii="Times New Roman" w:cs="Times New Roman" w:eastAsia="Times New Roman" w:hAnsi="Times New Roman"/>
          <w:sz w:val="22"/>
          <w:szCs w:val="22"/>
        </w:rPr>
        <w:t xml:space="preserve">Cakupan ground truth tidak mencakup seluruh bentuk anomali ekonomi riil: episode hiperinflasi murni (mis. Peru 1990) tidak masuk definisi krisis pada ground_truth_imf.csv.</w:t>
      </w:r>
    </w:p>
    <w:p>
      <w:pPr>
        <w:pStyle w:val="ListParagraph"/>
        <w:numPr>
          <w:ilvl w:val="0"/>
          <w:numId w:val="7"/>
        </w:numPr>
        <w:spacing w:after="100"/>
        <w:jc w:val="both"/>
      </w:pPr>
      <w:r>
        <w:rPr>
          <w:rFonts w:ascii="Times New Roman" w:cs="Times New Roman" w:eastAsia="Times New Roman" w:hAnsi="Times New Roman"/>
          <w:sz w:val="22"/>
          <w:szCs w:val="22"/>
        </w:rPr>
        <w:t xml:space="preserve">Sensitif terhadap dimensionalitas tinggi: sejalan dengan temuan Goldstein &amp; Uchida (2016), performa LOF berpotensi menurun pada dataset dengan lebih dari 10 fitur, relevan mengingat dataset ini memiliki 14 fitur.</w:t>
      </w:r>
    </w:p>
    <w:p>
      <w:pPr>
        <w:pStyle w:val="ListParagraph"/>
        <w:numPr>
          <w:ilvl w:val="0"/>
          <w:numId w:val="7"/>
        </w:numPr>
        <w:spacing w:after="100"/>
        <w:jc w:val="both"/>
      </w:pPr>
      <w:r>
        <w:rPr>
          <w:rFonts w:ascii="Times New Roman" w:cs="Times New Roman" w:eastAsia="Times New Roman" w:hAnsi="Times New Roman"/>
          <w:sz w:val="22"/>
          <w:szCs w:val="22"/>
        </w:rPr>
        <w:t xml:space="preserve">Kompleksitas komputasi LOF sebesar O(n²) tidak diukur secara terpisah pada penelitian ini; pada 1.715 baris data waktu proses tidak jadi kendala praktis, tapi perlu diperhitungkan pada panel data yang jauh lebih besar.</w:t>
      </w:r>
    </w:p>
    <w:p>
      <w:pPr>
        <w:pStyle w:val="ListParagraph"/>
        <w:numPr>
          <w:ilvl w:val="0"/>
          <w:numId w:val="7"/>
        </w:numPr>
        <w:spacing w:after="100"/>
        <w:jc w:val="both"/>
      </w:pPr>
      <w:r>
        <w:rPr>
          <w:rFonts w:ascii="Times New Roman" w:cs="Times New Roman" w:eastAsia="Times New Roman" w:hAnsi="Times New Roman"/>
          <w:sz w:val="22"/>
          <w:szCs w:val="22"/>
        </w:rPr>
        <w:t xml:space="preserve">Evaluasi contextual anomaly secara eksplisit per kelompok kawasan (mis. menormalkan skor LOF terhadap peer group regional) belum dilakukan sebagai analisis terpisah; interpretasi kontekstual pada laporan ini (§3.4) didasarkan pada pengamatan kualitatif negara per negara.</w:t>
      </w:r>
    </w:p>
    <w:p>
      <w:pPr>
        <w:spacing w:after="120" w:before="240"/>
      </w:pPr>
      <w:r>
        <w:rPr>
          <w:rFonts w:ascii="Times New Roman" w:cs="Times New Roman" w:eastAsia="Times New Roman" w:hAnsi="Times New Roman"/>
          <w:b/>
          <w:bCs/>
          <w:sz w:val="24"/>
          <w:szCs w:val="24"/>
        </w:rPr>
        <w:t xml:space="preserve">4. KESIMPULAN</w:t>
      </w:r>
    </w:p>
    <w:p>
      <w:pPr>
        <w:spacing w:after="120"/>
        <w:ind w:firstLine="425"/>
        <w:jc w:val="both"/>
      </w:pPr>
      <w:r>
        <w:rPr>
          <w:rFonts w:ascii="Times New Roman" w:cs="Times New Roman" w:eastAsia="Times New Roman" w:hAnsi="Times New Roman"/>
          <w:sz w:val="22"/>
          <w:szCs w:val="22"/>
        </w:rPr>
        <w:t xml:space="preserve">Implementasi Local Outlier Factor pada 14 indikator makroekonomi dari 49 negara (1990–2024), dengan pemilihan hyperparameter yang sepenuhnya tidak bergantung pada label krisis, menghasilkan Precision 24,6%, Recall 18,3%, F1-Score 21,0%, dan ROC-AUC 0,7099 terhadap ground truth eksternal. Robustness check lewat 20 kali resampling menunjukkan sebaran hasil yang sangat ketat (ROC-AUC 0,7068 ± 0,0106; F1-Score 0,2265 ± 0,0153), membuktikan hasil ini stabil dan bukan kebetulan satu kali fit.</w:t>
      </w:r>
    </w:p>
    <w:p>
      <w:pPr>
        <w:spacing w:after="120"/>
        <w:ind w:firstLine="425"/>
        <w:jc w:val="both"/>
      </w:pPr>
      <w:r>
        <w:rPr>
          <w:rFonts w:ascii="Times New Roman" w:cs="Times New Roman" w:eastAsia="Times New Roman" w:hAnsi="Times New Roman"/>
          <w:sz w:val="22"/>
          <w:szCs w:val="22"/>
        </w:rPr>
        <w:t xml:space="preserve">LOF terbukti efektif menangkap anomali kontekstual/regional dan idiosinkratik, ditunjukkan oleh detection rate tinggi pada krisis Brasil (Collor Plan, 100%) dan Argentina (66,7%), namun kurang efektif pada krisis yang berdampak merata secara global seperti Global Financial Crisis (6,4%), karena prinsip kerja LOF yang menilai keanomalian secara relatif terhadap kerapatan tetangga lokal. Temuan ini menunjukkan bahwa tidak ada satu paradigma algoritma yang cukup untuk berdiri sendiri sebagai Early Warning System yang komprehensif. Hasil deteksi LOF pada laporan ini diposisikan sebagai satu kontribusi input bagi mekanisme Majority Voting tingkat proyek kelompok, yang mengagregasi konsensus dari enam algoritma lintas-paradigma guna menghasilkan sinyal EWS yang tidak bias terhadap kelemahan spesifik satu metode.</w:t>
      </w:r>
    </w:p>
    <w:p>
      <w:pPr>
        <w:spacing w:after="120" w:before="240"/>
      </w:pPr>
      <w:r>
        <w:rPr>
          <w:rFonts w:ascii="Times New Roman" w:cs="Times New Roman" w:eastAsia="Times New Roman" w:hAnsi="Times New Roman"/>
          <w:b/>
          <w:bCs/>
          <w:sz w:val="24"/>
          <w:szCs w:val="24"/>
        </w:rPr>
        <w:t xml:space="preserve">5. DAFTAR PUSTAKA</w:t>
      </w:r>
    </w:p>
    <w:p>
      <w:pPr>
        <w:spacing w:after="160"/>
        <w:ind w:left="425" w:hanging="425"/>
        <w:jc w:val="both"/>
      </w:pPr>
      <w:r>
        <w:rPr>
          <w:rFonts w:ascii="Times New Roman" w:cs="Times New Roman" w:eastAsia="Times New Roman" w:hAnsi="Times New Roman"/>
          <w:sz w:val="22"/>
          <w:szCs w:val="22"/>
        </w:rPr>
        <w:t xml:space="preserve">Auskalnis, J., Paulauskas, N., &amp; Baskys, A. (2018). Application of Local Outlier Factor Algorithm to Detect Anomalies in Computer Network. Elektronika ir Elektrotechnika, 24(3), 96–99. https://doi.org/10.5755/j01.eie.24.3.20972</w:t>
      </w:r>
    </w:p>
    <w:p>
      <w:pPr>
        <w:spacing w:after="160"/>
        <w:ind w:left="425" w:hanging="425"/>
        <w:jc w:val="both"/>
      </w:pPr>
      <w:r>
        <w:rPr>
          <w:rFonts w:ascii="Times New Roman" w:cs="Times New Roman" w:eastAsia="Times New Roman" w:hAnsi="Times New Roman"/>
          <w:sz w:val="22"/>
          <w:szCs w:val="22"/>
        </w:rPr>
        <w:t xml:space="preserve">Breunig, M. M., Kriegel, H.-P., Ng, R. T., &amp; Sander, J. (2000). LOF: Identifying Density-Based Local Outliers. Proceedings of the 2000 ACM SIGMOD International Conference on Management of Data, 93–104. https://doi.org/10.1145/342009.335388</w:t>
      </w:r>
    </w:p>
    <w:p>
      <w:pPr>
        <w:spacing w:after="160"/>
        <w:ind w:left="425" w:hanging="425"/>
        <w:jc w:val="both"/>
      </w:pPr>
      <w:r>
        <w:rPr>
          <w:rFonts w:ascii="Times New Roman" w:cs="Times New Roman" w:eastAsia="Times New Roman" w:hAnsi="Times New Roman"/>
          <w:sz w:val="22"/>
          <w:szCs w:val="22"/>
        </w:rPr>
        <w:t xml:space="preserve">Budiarto, A., Permanasari, A. E., &amp; Fauziati, S. (2019). Unsupervised Anomaly Detection Using K-Means, Local Outlier Factor and One Class SVM. 2019 5th International Conference on Science and Technology (ICST), IEEE. https://doi.org/10.1109/ICST47872.2019.9166366</w:t>
      </w:r>
    </w:p>
    <w:p>
      <w:pPr>
        <w:spacing w:after="160"/>
        <w:ind w:left="425" w:hanging="425"/>
        <w:jc w:val="both"/>
      </w:pPr>
      <w:r>
        <w:rPr>
          <w:rFonts w:ascii="Times New Roman" w:cs="Times New Roman" w:eastAsia="Times New Roman" w:hAnsi="Times New Roman"/>
          <w:sz w:val="22"/>
          <w:szCs w:val="22"/>
        </w:rPr>
        <w:t xml:space="preserve">Chandola, V., Banerjee, A., &amp; Kumar, V. (2009). Anomaly detection: A survey. ACM Computing Surveys, 41(3), 1–58.</w:t>
      </w:r>
    </w:p>
    <w:p>
      <w:pPr>
        <w:spacing w:after="160"/>
        <w:ind w:left="425" w:hanging="425"/>
        <w:jc w:val="both"/>
      </w:pPr>
      <w:r>
        <w:rPr>
          <w:rFonts w:ascii="Times New Roman" w:cs="Times New Roman" w:eastAsia="Times New Roman" w:hAnsi="Times New Roman"/>
          <w:sz w:val="22"/>
          <w:szCs w:val="22"/>
        </w:rPr>
        <w:t xml:space="preserve">Claessens, S., &amp; Kose, M. A. (2013). Financial crises: Explanations, types, and implications. IMF Working Paper, WP/13/28.</w:t>
      </w:r>
    </w:p>
    <w:p>
      <w:pPr>
        <w:spacing w:after="160"/>
        <w:ind w:left="425" w:hanging="425"/>
        <w:jc w:val="both"/>
      </w:pPr>
      <w:r>
        <w:rPr>
          <w:rFonts w:ascii="Times New Roman" w:cs="Times New Roman" w:eastAsia="Times New Roman" w:hAnsi="Times New Roman"/>
          <w:sz w:val="22"/>
          <w:szCs w:val="22"/>
        </w:rPr>
        <w:t xml:space="preserve">Goldstein, M., &amp; Uchida, S. (2016). A Comparative Evaluation of Unsupervised Anomaly Detection Algorithms for Multivariate Data. PLOS ONE, 11(4).</w:t>
      </w:r>
    </w:p>
    <w:p>
      <w:pPr>
        <w:spacing w:after="160"/>
        <w:ind w:left="425" w:hanging="425"/>
        <w:jc w:val="both"/>
      </w:pPr>
      <w:r>
        <w:rPr>
          <w:rFonts w:ascii="Times New Roman" w:cs="Times New Roman" w:eastAsia="Times New Roman" w:hAnsi="Times New Roman"/>
          <w:sz w:val="22"/>
          <w:szCs w:val="22"/>
        </w:rPr>
        <w:t xml:space="preserve">Kaminsky, G., Lizondo, S., &amp; Reinhart, C. M. (1998). Leading indicators of currency crises. IMF Staff Papers, 45(1), 1–48.</w:t>
      </w:r>
    </w:p>
    <w:p>
      <w:pPr>
        <w:spacing w:after="160"/>
        <w:ind w:left="425" w:hanging="425"/>
        <w:jc w:val="both"/>
      </w:pPr>
      <w:r>
        <w:rPr>
          <w:rFonts w:ascii="Times New Roman" w:cs="Times New Roman" w:eastAsia="Times New Roman" w:hAnsi="Times New Roman"/>
          <w:sz w:val="22"/>
          <w:szCs w:val="22"/>
        </w:rPr>
        <w:t xml:space="preserve">Laeven, L., &amp; Valencia, F. (2018). Systemic banking crises revisited. IMF Working Paper, WP/18/206.</w:t>
      </w:r>
    </w:p>
    <w:p>
      <w:pPr>
        <w:spacing w:after="160"/>
        <w:ind w:left="425" w:hanging="425"/>
        <w:jc w:val="both"/>
      </w:pPr>
      <w:r>
        <w:rPr>
          <w:rFonts w:ascii="Times New Roman" w:cs="Times New Roman" w:eastAsia="Times New Roman" w:hAnsi="Times New Roman"/>
          <w:sz w:val="22"/>
          <w:szCs w:val="22"/>
        </w:rPr>
        <w:t xml:space="preserve">Mokua, N., wa Maina, C., &amp; Kiragu, H. (2021). Anomaly Detection for Raw Water Quality: A Comparative Analysis of the Local Outlier Factor Algorithm and the Random Forest Algorithms. International Journal of Computer Applications, 174(26), 47–54.</w:t>
      </w:r>
    </w:p>
    <w:p>
      <w:pPr>
        <w:spacing w:after="160"/>
        <w:ind w:left="425" w:hanging="425"/>
        <w:jc w:val="both"/>
      </w:pPr>
      <w:r>
        <w:rPr>
          <w:rFonts w:ascii="Times New Roman" w:cs="Times New Roman" w:eastAsia="Times New Roman" w:hAnsi="Times New Roman"/>
          <w:sz w:val="22"/>
          <w:szCs w:val="22"/>
        </w:rPr>
        <w:t xml:space="preserve">Pedregosa, F., et al. (2011). Scikit-learn: Machine Learning in Python. Journal of Machine Learning Research, 12, 2825–2830.</w:t>
      </w:r>
    </w:p>
    <w:p>
      <w:pPr>
        <w:spacing w:after="160"/>
        <w:ind w:left="425" w:hanging="425"/>
        <w:jc w:val="both"/>
      </w:pPr>
      <w:r>
        <w:rPr>
          <w:rFonts w:ascii="Times New Roman" w:cs="Times New Roman" w:eastAsia="Times New Roman" w:hAnsi="Times New Roman"/>
          <w:sz w:val="22"/>
          <w:szCs w:val="22"/>
        </w:rPr>
        <w:t xml:space="preserve">Reinhart, C. M., &amp; Rogoff, K. S. (2009). This Time Is Different: Eight Centuries of Financial Folly. Princeton University Press.</w:t>
      </w:r>
    </w:p>
    <w:p>
      <w:pPr>
        <w:spacing w:after="160"/>
        <w:ind w:left="425" w:hanging="425"/>
        <w:jc w:val="both"/>
      </w:pPr>
      <w:r>
        <w:rPr>
          <w:rFonts w:ascii="Times New Roman" w:cs="Times New Roman" w:eastAsia="Times New Roman" w:hAnsi="Times New Roman"/>
          <w:sz w:val="22"/>
          <w:szCs w:val="22"/>
        </w:rPr>
        <w:t xml:space="preserve">Sugidamayatno, S., &amp; Lelono, D. (2019). Outlier Detection Credit Card Transactions Using Local Outlier Factor Algorithm (LOF). IJCCS (Indonesian Journal of Computing and Cybernetics Systems), 13(4), 409–420. https://doi.org/10.22146/ijccs.46561</w:t>
      </w:r>
    </w:p>
    <w:p>
      <w:pPr>
        <w:spacing w:after="160"/>
        <w:ind w:left="425" w:hanging="425"/>
        <w:jc w:val="both"/>
      </w:pPr>
      <w:r>
        <w:rPr>
          <w:rFonts w:ascii="Times New Roman" w:cs="Times New Roman" w:eastAsia="Times New Roman" w:hAnsi="Times New Roman"/>
          <w:sz w:val="22"/>
          <w:szCs w:val="22"/>
        </w:rPr>
        <w:t xml:space="preserve">World Bank. (2024). Global Economic Monitor. https://data.worldbank.org/</w:t>
      </w:r>
    </w:p>
    <w:p>
      <w:pPr>
        <w:spacing w:before="200"/>
        <w:jc w:val="both"/>
      </w:pPr>
      <w:r>
        <w:rPr>
          <w:rFonts w:ascii="Times New Roman" w:cs="Times New Roman" w:eastAsia="Times New Roman" w:hAnsi="Times New Roman"/>
          <w:i/>
          <w:iCs/>
          <w:sz w:val="20"/>
          <w:szCs w:val="20"/>
        </w:rPr>
        <w:t xml:space="preserve">Laporan ini merupakan kontribusi individu (metode Local Outlier Factor) dalam proyek kelompok Deteksi Anomali pada Indikator Ekonomi Makro sebagai Early Warning System Krisis Ekonomi menggunakan Pendekatan Unsupervised Learning, Data Mining 2026.</w:t>
      </w:r>
    </w:p>
    <w:sectPr>
      <w:footerReference w:type="default" r:id="rId7"/>
      <w:pgSz w:w="11920" w:h="16840" w:orient="portrait"/>
      <w:pgMar w:top="1060" w:right="850" w:bottom="9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5" w:hanging="300"/>
      </w:pPr>
    </w:lvl>
  </w:abstractNum>
  <w:abstractNum w:abstractNumId="3" w15:restartNumberingAfterBreak="0">
    <w:multiLevelType w:val="hybridMultilevel"/>
    <w:lvl w:ilvl="0" w15:tentative="1">
      <w:start w:val="1"/>
      <w:numFmt w:val="decimal"/>
      <w:lvlText w:val="%1."/>
      <w:lvlJc w:val="start"/>
      <w:pPr>
        <w:ind w:left="425" w:hanging="300"/>
      </w:pPr>
    </w:lvl>
  </w:abstractNum>
  <w:abstractNum w:abstractNumId="4" w15:restartNumberingAfterBreak="0">
    <w:multiLevelType w:val="hybridMultilevel"/>
    <w:lvl w:ilvl="0" w15:tentative="1">
      <w:start w:val="1"/>
      <w:numFmt w:val="decimal"/>
      <w:lvlText w:val="%1."/>
      <w:lvlJc w:val="start"/>
      <w:pPr>
        <w:ind w:left="425" w:hanging="300"/>
      </w:pPr>
    </w:lvl>
  </w:abstractNum>
  <w:abstractNum w:abstractNumId="5" w15:restartNumberingAfterBreak="0">
    <w:multiLevelType w:val="hybridMultilevel"/>
    <w:lvl w:ilvl="0" w15:tentative="1">
      <w:start w:val="1"/>
      <w:numFmt w:val="decimal"/>
      <w:lvlText w:val="%1."/>
      <w:lvlJc w:val="start"/>
      <w:pPr>
        <w:ind w:left="425" w:hanging="300"/>
      </w:pPr>
    </w:lvl>
  </w:abstractNum>
  <w:abstractNum w:abstractNumId="6" w15:restartNumberingAfterBreak="0">
    <w:multiLevelType w:val="hybridMultilevel"/>
    <w:lvl w:ilvl="0" w15:tentative="1">
      <w:start w:val="1"/>
      <w:numFmt w:val="decimal"/>
      <w:lvlText w:val="%1."/>
      <w:lvlJc w:val="start"/>
      <w:pPr>
        <w:ind w:left="425" w:hanging="300"/>
      </w:pPr>
    </w:lvl>
  </w:abstractNum>
  <w:abstractNum w:abstractNumId="7" w15:restartNumberingAfterBreak="0">
    <w:multiLevelType w:val="hybridMultilevel"/>
    <w:lvl w:ilvl="0" w15:tentative="1">
      <w:start w:val="1"/>
      <w:numFmt w:val="bullet"/>
      <w:lvlText w:val="•"/>
      <w:lvlJc w:val="start"/>
      <w:pPr>
        <w:ind w:left="425"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2adea351f22594a37bd33d52eba2d73d4365e88.png"/><Relationship Id="rId9" Type="http://schemas.openxmlformats.org/officeDocument/2006/relationships/image" Target="media/2677f7231213829bf26e7f256435c2b51aa78fb8.png"/><Relationship Id="rId10" Type="http://schemas.openxmlformats.org/officeDocument/2006/relationships/image" Target="media/e281de31a0dab4866bccca097dabf95d00389fe8.png"/><Relationship Id="rId11" Type="http://schemas.openxmlformats.org/officeDocument/2006/relationships/image" Target="media/4250ea7bfbe2db0cc9aeb1c1c8f166f8ca3ccee2.png"/><Relationship Id="rId12" Type="http://schemas.openxmlformats.org/officeDocument/2006/relationships/image" Target="media/7e17f5bbb843f80ee63210f65d94a2186884759a.png"/><Relationship Id="rId13" Type="http://schemas.openxmlformats.org/officeDocument/2006/relationships/image" Target="media/2279a68fd4515fd480d3b496e7846ff077ddb20d.png"/><Relationship Id="rId14" Type="http://schemas.openxmlformats.org/officeDocument/2006/relationships/image" Target="media/48dbbd15c747a54ff2bcc6055e8ff5b37b2e30c1.png"/><Relationship Id="rId15" Type="http://schemas.openxmlformats.org/officeDocument/2006/relationships/image" Target="media/130b030ecf71dad69feb093608fc0466e5143c95.png"/><Relationship Id="rId16" Type="http://schemas.openxmlformats.org/officeDocument/2006/relationships/image" Target="media/fd1ec3b93fff54ba30a459104c603c69b884839c.png"/><Relationship Id="rId17" Type="http://schemas.openxmlformats.org/officeDocument/2006/relationships/image" Target="media/5918fe0a407c955981ca1496ec78f41d0de7c28b.png"/><Relationship Id="rId18" Type="http://schemas.openxmlformats.org/officeDocument/2006/relationships/image" Target="media/e9ef8c37044cc9f4f206f320df73f6ceb9e3bff5.png"/><Relationship Id="rId19" Type="http://schemas.openxmlformats.org/officeDocument/2006/relationships/image" Target="media/1168bc875d1649ca60951b99607c8ec41109c60f.png"/><Relationship Id="rId20" Type="http://schemas.openxmlformats.org/officeDocument/2006/relationships/image" Target="media/be9698a5e9a5d56eee066cf39066dae9cac48d92.png"/><Relationship Id="rId21" Type="http://schemas.openxmlformats.org/officeDocument/2006/relationships/image" Target="media/32c70607a116ecede73eeffa5fb1b0e8e162d40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2026-09-12T10:35:44.513Z</dcterms:created>
  <dcterms:modified xsi:type="dcterms:W3CDTF">2026-09-12T10:35:44.523Z</dcterms:modified>
</cp:coreProperties>
</file>

<file path=docProps/custom.xml><?xml version="1.0" encoding="utf-8"?>
<Properties xmlns="http://schemas.openxmlformats.org/officeDocument/2006/custom-properties" xmlns:vt="http://schemas.openxmlformats.org/officeDocument/2006/docPropsVTypes"/>
</file>