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sz w:val="28"/>
          <w:szCs w:val="28"/>
        </w:rPr>
        <w:t xml:space="preserve">LAPORAN BAGIAN INDIVIDU</w:t>
      </w:r>
    </w:p>
    <w:p>
      <w:pPr>
        <w:spacing w:before="200"/>
        <w:jc w:val="center"/>
      </w:pPr>
      <w:r>
        <w:rPr>
          <w:rFonts w:ascii="Calibri" w:cs="Calibri" w:eastAsia="Calibri" w:hAnsi="Calibri"/>
          <w:b/>
          <w:bCs/>
          <w:color w:val="8B2E33"/>
          <w:sz w:val="40"/>
          <w:szCs w:val="40"/>
        </w:rPr>
        <w:t xml:space="preserve">PCA-based Anomaly Detection</w:t>
      </w:r>
    </w:p>
    <w:p>
      <w:pPr>
        <w:spacing w:after="400" w:before="100"/>
        <w:jc w:val="center"/>
      </w:pPr>
      <w:r>
        <w:rPr>
          <w:rFonts w:ascii="Calibri" w:cs="Calibri" w:eastAsia="Calibri" w:hAnsi="Calibri"/>
          <w:sz w:val="28"/>
          <w:szCs w:val="28"/>
        </w:rPr>
        <w:t xml:space="preserve">Instrumen Early Warning System (EWS) Krisis Ekonomi</w:t>
      </w:r>
    </w:p>
    <w:p>
      <w:pPr>
        <w:spacing w:before="100"/>
        <w:jc w:val="center"/>
      </w:pPr>
      <w:r>
        <w:rPr>
          <w:rFonts w:ascii="Calibri" w:cs="Calibri" w:eastAsia="Calibri" w:hAnsi="Calibri"/>
          <w:i/>
          <w:iCs/>
          <w:sz w:val="22"/>
          <w:szCs w:val="22"/>
        </w:rPr>
        <w:t xml:space="preserve">Bagian dari Proposal Kelompok 4:</w:t>
      </w:r>
    </w:p>
    <w:p>
      <w:pPr>
        <w:spacing w:after="800"/>
        <w:jc w:val="center"/>
      </w:pPr>
      <w:r>
        <w:rPr>
          <w:rFonts w:ascii="Calibri" w:cs="Calibri" w:eastAsia="Calibri" w:hAnsi="Calibri"/>
          <w:i/>
          <w:iCs/>
          <w:sz w:val="22"/>
          <w:szCs w:val="22"/>
        </w:rPr>
        <w:t xml:space="preserve">"Analisis Deteksi Anomali pada Indikator Makroekonomi Global sebagai Instrumen Early Warning System (EWS) Krisis Ekonomi"</w:t>
      </w:r>
    </w:p>
    <w:p>
      <w:pPr>
        <w:spacing w:before="1200"/>
        <w:jc w:val="center"/>
      </w:pPr>
      <w:r>
        <w:rPr>
          <w:rFonts w:ascii="Calibri" w:cs="Calibri" w:eastAsia="Calibri" w:hAnsi="Calibri"/>
          <w:sz w:val="22"/>
          <w:szCs w:val="22"/>
        </w:rPr>
        <w:t xml:space="preserve">PROGRAM STUDI D-IV KOMPUTASI STATISTIK</w:t>
      </w:r>
    </w:p>
    <w:p>
      <w:pPr>
        <w:jc w:val="center"/>
      </w:pPr>
      <w:r>
        <w:rPr>
          <w:rFonts w:ascii="Calibri" w:cs="Calibri" w:eastAsia="Calibri" w:hAnsi="Calibri"/>
          <w:sz w:val="22"/>
          <w:szCs w:val="22"/>
        </w:rPr>
        <w:t xml:space="preserve">POLITEKNIK STATISTIKA STIS</w:t>
      </w:r>
    </w:p>
    <w:p>
      <w:pPr>
        <w:spacing w:after="200"/>
        <w:jc w:val="center"/>
      </w:pPr>
      <w:r>
        <w:rPr>
          <w:rFonts w:ascii="Calibri" w:cs="Calibri" w:eastAsia="Calibri" w:hAnsi="Calibri"/>
          <w:sz w:val="22"/>
          <w:szCs w:val="22"/>
        </w:rPr>
        <w:t xml:space="preserve">2025/2026</w:t>
      </w:r>
    </w:p>
    <w:p>
      <w:r>
        <w:br w:type="page"/>
      </w:r>
    </w:p>
    <w:p>
      <w:pPr>
        <w:pStyle w:val="Heading1"/>
        <w:spacing w:after="160" w:before="320"/>
      </w:pPr>
      <w:r>
        <w:rPr>
          <w:rFonts w:ascii="Calibri" w:cs="Calibri" w:eastAsia="Calibri" w:hAnsi="Calibri"/>
          <w:b/>
          <w:bCs/>
          <w:color w:val="8B2E33"/>
        </w:rPr>
        <w:t xml:space="preserve">Catatan Revisi Metodologi</w:t>
      </w:r>
    </w:p>
    <w:p>
      <w:pPr>
        <w:spacing w:after="160" w:line="300"/>
        <w:jc w:val="both"/>
      </w:pPr>
      <w:r>
        <w:rPr>
          <w:rFonts w:ascii="Calibri" w:cs="Calibri" w:eastAsia="Calibri" w:hAnsi="Calibri"/>
          <w:sz w:val="22"/>
          <w:szCs w:val="22"/>
        </w:rPr>
        <w:t xml:space="preserve">Draf awal bagian PCA pada tugas ini melatih model menggunakan skema pembagian data 70% latih / 15% validasi / 15% uji terhadap data normal, mengikuti pola yang dipakai pada implementasi Autoencoder. Skema tersebut menyebabkan hasil PCA tidak dapat dibandingkan secara adil (apple-to-apple) dengan hasil Local Outlier Factor (LOF) milik anggota kelompok lain, karena LOF di-scoring pada seluruh 1.714 observasi sedangkan PCA versi awal hanya dievaluasi pada subset uji.</w:t>
      </w:r>
    </w:p>
    <w:p>
      <w:pPr>
        <w:spacing w:after="160" w:line="300"/>
        <w:jc w:val="both"/>
      </w:pPr>
      <w:r>
        <w:rPr>
          <w:rFonts w:ascii="Calibri" w:cs="Calibri" w:eastAsia="Calibri" w:hAnsi="Calibri"/>
          <w:sz w:val="22"/>
          <w:szCs w:val="22"/>
        </w:rPr>
        <w:t xml:space="preserve">Laporan ini menggunakan skema yang telah diperbaiki agar konsisten dengan LOF, yaitu:</w:t>
      </w:r>
    </w:p>
    <w:p>
      <w:pPr>
        <w:pStyle w:val="ListParagraph"/>
        <w:numPr>
          <w:ilvl w:val="0"/>
          <w:numId w:val="1"/>
        </w:numPr>
        <w:spacing w:after="80"/>
      </w:pPr>
      <w:r>
        <w:rPr>
          <w:rFonts w:ascii="Calibri" w:cs="Calibri" w:eastAsia="Calibri" w:hAnsi="Calibri"/>
          <w:sz w:val="22"/>
          <w:szCs w:val="22"/>
        </w:rPr>
        <w:t xml:space="preserve">StandardScaler dan PCA di-fit HANYA dari seluruh baris data normal (crisis_label = 0, 1.385 baris) -- bukan hanya 70%-nya -- sehingga prinsip 'PCA hanya mempelajari kondisi normal' tetap terjaga tanpa ada informasi krisis yang bocor ke tahap pelatihan.</w:t>
      </w:r>
    </w:p>
    <w:p>
      <w:pPr>
        <w:pStyle w:val="ListParagraph"/>
        <w:numPr>
          <w:ilvl w:val="0"/>
          <w:numId w:val="1"/>
        </w:numPr>
        <w:spacing w:after="80"/>
      </w:pPr>
      <w:r>
        <w:rPr>
          <w:rFonts w:ascii="Calibri" w:cs="Calibri" w:eastAsia="Calibri" w:hAnsi="Calibri"/>
          <w:sz w:val="22"/>
          <w:szCs w:val="22"/>
        </w:rPr>
        <w:t xml:space="preserve">SPE (Squared Prediction Error) dan Hotelling's T² dihitung untuk SELURUH 1.714 observasi (normal + krisis), persis seperti cara LOF di-scoring pada seluruh dataset.</w:t>
      </w:r>
    </w:p>
    <w:p>
      <w:pPr>
        <w:pStyle w:val="ListParagraph"/>
        <w:numPr>
          <w:ilvl w:val="0"/>
          <w:numId w:val="1"/>
        </w:numPr>
        <w:spacing w:after="80"/>
      </w:pPr>
      <w:r>
        <w:rPr>
          <w:rFonts w:ascii="Calibri" w:cs="Calibri" w:eastAsia="Calibri" w:hAnsi="Calibri"/>
          <w:sz w:val="22"/>
          <w:szCs w:val="22"/>
        </w:rPr>
        <w:t xml:space="preserve">Upper Control Limit (UCL) tetap dihitung hanya dari sebaran SPE/T² pada data normal, sehingga tidak ada label krisis yang bocor ke penentuan ambang batas anomali.</w:t>
      </w:r>
    </w:p>
    <w:p>
      <w:pPr>
        <w:spacing w:after="160" w:line="300"/>
        <w:jc w:val="both"/>
      </w:pPr>
      <w:r>
        <w:rPr>
          <w:rFonts w:ascii="Calibri" w:cs="Calibri" w:eastAsia="Calibri" w:hAnsi="Calibri"/>
          <w:sz w:val="22"/>
          <w:szCs w:val="22"/>
        </w:rPr>
        <w:t xml:space="preserve">Dengan skema ini, seluruh metrik evaluasi pada laporan ini dapat dibandingkan langsung dengan metrik LOF pada laporan gabungan kelompok.</w:t>
      </w:r>
    </w:p>
    <w:p>
      <w:pPr>
        <w:pStyle w:val="Heading1"/>
        <w:spacing w:after="160" w:before="320"/>
      </w:pPr>
      <w:r>
        <w:rPr>
          <w:rFonts w:ascii="Calibri" w:cs="Calibri" w:eastAsia="Calibri" w:hAnsi="Calibri"/>
          <w:b/>
          <w:bCs/>
          <w:color w:val="8B2E33"/>
        </w:rPr>
        <w:t xml:space="preserve">1. Pendahuluan</w:t>
      </w:r>
    </w:p>
    <w:p>
      <w:pPr>
        <w:spacing w:after="160" w:line="300"/>
        <w:jc w:val="both"/>
      </w:pPr>
      <w:r>
        <w:rPr>
          <w:rFonts w:ascii="Calibri" w:cs="Calibri" w:eastAsia="Calibri" w:hAnsi="Calibri"/>
          <w:sz w:val="22"/>
          <w:szCs w:val="22"/>
        </w:rPr>
        <w:t xml:space="preserve">Bagian ini merupakan implementasi individu dari algoritma PCA-based Anomaly Detection sebagaimana dirancang dalam proposal Kelompok 4 (Bab 2.1.3.5 dan Bab 3.2.6). PCA digunakan untuk mendeteksi anomali pada 14 indikator makroekonomi terstandardisasi dari 49 negara periode 1990-2024 (1.714 observasi panel), dengan crisis_label sebagai referensi validasi eksternal yang disusun dari katalog krisis historis World Bank/IMF.</w:t>
      </w:r>
    </w:p>
    <w:p>
      <w:pPr>
        <w:spacing w:after="160" w:line="300"/>
        <w:jc w:val="both"/>
      </w:pPr>
      <w:r>
        <w:rPr>
          <w:rFonts w:ascii="Calibri" w:cs="Calibri" w:eastAsia="Calibri" w:hAnsi="Calibri"/>
          <w:sz w:val="22"/>
          <w:szCs w:val="22"/>
        </w:rPr>
        <w:t xml:space="preserve">Prinsip metode: PCA membangun profil 'normalitas' makroekonomi dari data yang tidak mengandung periode krisis, kemudian mengukur seberapa jauh setiap observasi (baik normal maupun krisis) menyimpang dari profil tersebut melalui dua statistik komplementer: Squared Prediction Error (SPE / Q-statistic) untuk mengukur reconstruction error di luar ruang komponen utama, dan Hotelling's T² untuk mengukur jarak di dalam ruang komponen utama yang dipertahankan.</w:t>
      </w:r>
    </w:p>
    <w:p>
      <w:pPr>
        <w:pStyle w:val="Heading1"/>
        <w:spacing w:after="160" w:before="320"/>
      </w:pPr>
      <w:r>
        <w:rPr>
          <w:rFonts w:ascii="Calibri" w:cs="Calibri" w:eastAsia="Calibri" w:hAnsi="Calibri"/>
          <w:b/>
          <w:bCs/>
          <w:color w:val="8B2E33"/>
        </w:rPr>
        <w:t xml:space="preserve">2. Data dan Variabel</w:t>
      </w:r>
    </w:p>
    <w:p>
      <w:pPr>
        <w:spacing w:after="160" w:line="300"/>
        <w:jc w:val="both"/>
      </w:pPr>
      <w:r>
        <w:rPr>
          <w:rFonts w:ascii="Calibri" w:cs="Calibri" w:eastAsia="Calibri" w:hAnsi="Calibri"/>
          <w:sz w:val="22"/>
          <w:szCs w:val="22"/>
        </w:rPr>
        <w:t xml:space="preserve">Model dilatih (fit) menggunakan 1385 baris data normal (crisis_label = 0), kemudian digunakan untuk men-scoring seluruh 1714 observasi. Sebanyak 14 variabel numerik terstandardisasi (Z-score) digunakan sebagai fitur, identik dengan variabel yang dipakai algoritma lain di kelompok ini (economy dan year hanya digunakan sebagai identifier, bukan fitur).</w:t>
      </w:r>
    </w:p>
    <w:p>
      <w:pPr>
        <w:pStyle w:val="ListParagraph"/>
        <w:numPr>
          <w:ilvl w:val="0"/>
          <w:numId w:val="1"/>
        </w:numPr>
        <w:spacing w:after="80"/>
      </w:pPr>
      <w:r>
        <w:rPr>
          <w:rFonts w:ascii="Calibri" w:cs="Calibri" w:eastAsia="Calibri" w:hAnsi="Calibri"/>
          <w:sz w:val="22"/>
          <w:szCs w:val="22"/>
        </w:rPr>
        <w:t xml:space="preserve">GDP_Growth, GDP_PerCapita_Growth — dinamika pertumbuhan ekonomi riil</w:t>
      </w:r>
    </w:p>
    <w:p>
      <w:pPr>
        <w:pStyle w:val="ListParagraph"/>
        <w:numPr>
          <w:ilvl w:val="0"/>
          <w:numId w:val="1"/>
        </w:numPr>
        <w:spacing w:after="80"/>
      </w:pPr>
      <w:r>
        <w:rPr>
          <w:rFonts w:ascii="Calibri" w:cs="Calibri" w:eastAsia="Calibri" w:hAnsi="Calibri"/>
          <w:sz w:val="22"/>
          <w:szCs w:val="22"/>
        </w:rPr>
        <w:t xml:space="preserve">Inflation_CPI — tekanan harga konsumen</w:t>
      </w:r>
    </w:p>
    <w:p>
      <w:pPr>
        <w:pStyle w:val="ListParagraph"/>
        <w:numPr>
          <w:ilvl w:val="0"/>
          <w:numId w:val="1"/>
        </w:numPr>
        <w:spacing w:after="80"/>
      </w:pPr>
      <w:r>
        <w:rPr>
          <w:rFonts w:ascii="Calibri" w:cs="Calibri" w:eastAsia="Calibri" w:hAnsi="Calibri"/>
          <w:sz w:val="22"/>
          <w:szCs w:val="22"/>
        </w:rPr>
        <w:t xml:space="preserve">Total_Reserves — ketahanan eksternal / cadangan devisa</w:t>
      </w:r>
    </w:p>
    <w:p>
      <w:pPr>
        <w:pStyle w:val="ListParagraph"/>
        <w:numPr>
          <w:ilvl w:val="0"/>
          <w:numId w:val="1"/>
        </w:numPr>
        <w:spacing w:after="80"/>
      </w:pPr>
      <w:r>
        <w:rPr>
          <w:rFonts w:ascii="Calibri" w:cs="Calibri" w:eastAsia="Calibri" w:hAnsi="Calibri"/>
          <w:sz w:val="22"/>
          <w:szCs w:val="22"/>
        </w:rPr>
        <w:t xml:space="preserve">Unemployment — kondisi pasar tenaga kerja</w:t>
      </w:r>
    </w:p>
    <w:p>
      <w:pPr>
        <w:pStyle w:val="ListParagraph"/>
        <w:numPr>
          <w:ilvl w:val="0"/>
          <w:numId w:val="1"/>
        </w:numPr>
        <w:spacing w:after="80"/>
      </w:pPr>
      <w:r>
        <w:rPr>
          <w:rFonts w:ascii="Calibri" w:cs="Calibri" w:eastAsia="Calibri" w:hAnsi="Calibri"/>
          <w:sz w:val="22"/>
          <w:szCs w:val="22"/>
        </w:rPr>
        <w:t xml:space="preserve">Current_Account_GDP, Trade_GDP, Exports_GDP, Imports_GDP — posisi eksternal &amp; keterbukaan perdagangan</w:t>
      </w:r>
    </w:p>
    <w:p>
      <w:pPr>
        <w:pStyle w:val="ListParagraph"/>
        <w:numPr>
          <w:ilvl w:val="0"/>
          <w:numId w:val="1"/>
        </w:numPr>
        <w:spacing w:after="80"/>
      </w:pPr>
      <w:r>
        <w:rPr>
          <w:rFonts w:ascii="Calibri" w:cs="Calibri" w:eastAsia="Calibri" w:hAnsi="Calibri"/>
          <w:sz w:val="22"/>
          <w:szCs w:val="22"/>
        </w:rPr>
        <w:t xml:space="preserve">FDI_Inflows_GDP — arus modal asing</w:t>
      </w:r>
    </w:p>
    <w:p>
      <w:pPr>
        <w:pStyle w:val="ListParagraph"/>
        <w:numPr>
          <w:ilvl w:val="0"/>
          <w:numId w:val="1"/>
        </w:numPr>
        <w:spacing w:after="80"/>
      </w:pPr>
      <w:r>
        <w:rPr>
          <w:rFonts w:ascii="Calibri" w:cs="Calibri" w:eastAsia="Calibri" w:hAnsi="Calibri"/>
          <w:sz w:val="22"/>
          <w:szCs w:val="22"/>
        </w:rPr>
        <w:t xml:space="preserve">Gross_Savings_GDP, Investment_GDP — tabungan dan investasi domestik</w:t>
      </w:r>
    </w:p>
    <w:p>
      <w:pPr>
        <w:pStyle w:val="ListParagraph"/>
        <w:numPr>
          <w:ilvl w:val="0"/>
          <w:numId w:val="1"/>
        </w:numPr>
        <w:spacing w:after="80"/>
      </w:pPr>
      <w:r>
        <w:rPr>
          <w:rFonts w:ascii="Calibri" w:cs="Calibri" w:eastAsia="Calibri" w:hAnsi="Calibri"/>
          <w:sz w:val="22"/>
          <w:szCs w:val="22"/>
        </w:rPr>
        <w:t xml:space="preserve">Exchange_Rate — stabilitas nilai tukar</w:t>
      </w:r>
    </w:p>
    <w:p>
      <w:pPr>
        <w:pStyle w:val="ListParagraph"/>
        <w:numPr>
          <w:ilvl w:val="0"/>
          <w:numId w:val="1"/>
        </w:numPr>
        <w:spacing w:after="80"/>
      </w:pPr>
      <w:r>
        <w:rPr>
          <w:rFonts w:ascii="Calibri" w:cs="Calibri" w:eastAsia="Calibri" w:hAnsi="Calibri"/>
          <w:sz w:val="22"/>
          <w:szCs w:val="22"/>
        </w:rPr>
        <w:t xml:space="preserve">Manufacturing_Value — produktivitas sektor riil</w:t>
      </w:r>
    </w:p>
    <w:p>
      <w:pPr>
        <w:pStyle w:val="Heading1"/>
        <w:spacing w:after="160" w:before="320"/>
      </w:pPr>
      <w:r>
        <w:rPr>
          <w:rFonts w:ascii="Calibri" w:cs="Calibri" w:eastAsia="Calibri" w:hAnsi="Calibri"/>
          <w:b/>
          <w:bCs/>
          <w:color w:val="8B2E33"/>
        </w:rPr>
        <w:t xml:space="preserve">3. Metodologi</w:t>
      </w:r>
    </w:p>
    <w:p>
      <w:pPr>
        <w:pStyle w:val="Heading2"/>
        <w:spacing w:after="120" w:before="240"/>
      </w:pPr>
      <w:r>
        <w:rPr>
          <w:rFonts w:ascii="Calibri" w:cs="Calibri" w:eastAsia="Calibri" w:hAnsi="Calibri"/>
          <w:b/>
          <w:bCs/>
        </w:rPr>
        <w:t xml:space="preserve">3.1 Pemilihan Jumlah Komponen Utama (k)</w:t>
      </w:r>
    </w:p>
    <w:p>
      <w:pPr>
        <w:spacing w:after="160" w:line="300"/>
        <w:jc w:val="both"/>
      </w:pPr>
      <w:r>
        <w:rPr>
          <w:rFonts w:ascii="Calibri" w:cs="Calibri" w:eastAsia="Calibri" w:hAnsi="Calibri"/>
          <w:sz w:val="22"/>
          <w:szCs w:val="22"/>
        </w:rPr>
        <w:t xml:space="preserve">PCA dilatih penuh (14 komponen) dari data normal, kemudian jumlah komponen yang dipertahankan (k) ditentukan dari kriteria cumulative explained variance ≥ 95%, sesuai proposal. Diperoleh k = 9 komponen dengan cumulative explained variance sebesar 95.41%.</w:t>
      </w:r>
    </w:p>
    <w:p>
      <w:pPr>
        <w:spacing w:after="60" w:before="120"/>
        <w:jc w:val="center"/>
      </w:pPr>
      <w:r>
        <w:drawing>
          <wp:inline distT="0" distB="0" distL="0" distR="0">
            <wp:extent cx="53340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343275"/>
                    </a:xfrm>
                    <a:prstGeom prst="rect">
                      <a:avLst/>
                    </a:prstGeom>
                  </pic:spPr>
                </pic:pic>
              </a:graphicData>
            </a:graphic>
          </wp:inline>
        </w:drawing>
      </w:r>
    </w:p>
    <w:p>
      <w:pPr>
        <w:spacing w:after="240"/>
        <w:jc w:val="center"/>
      </w:pPr>
      <w:r>
        <w:rPr>
          <w:rFonts w:ascii="Calibri" w:cs="Calibri" w:eastAsia="Calibri" w:hAnsi="Calibri"/>
          <w:i/>
          <w:iCs/>
          <w:color w:val="555555"/>
          <w:sz w:val="20"/>
          <w:szCs w:val="20"/>
        </w:rPr>
        <w:t xml:space="preserve">Gambar 1. Scree plot explained variance per komponen dan kumulatifnya.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200"/>
        <w:gridCol w:w="2000"/>
        <w:gridCol w:w="1800"/>
      </w:tblGrid>
      <w:tr>
        <w:trPr>
          <w:tblHeader/>
        </w:trPr>
        <w:tc>
          <w:tcPr>
            <w:tcW w:type="dxa" w:w="1800"/>
            <w:shd w:fill="C44E52" w:color="auto" w:val="clear"/>
            <w:tcMar>
              <w:top w:type="dxa" w:w="60"/>
              <w:left w:type="dxa" w:w="100"/>
              <w:bottom w:type="dxa" w:w="60"/>
              <w:right w:type="dxa" w:w="100"/>
            </w:tcMar>
          </w:tcPr>
          <w:p>
            <w:r>
              <w:rPr>
                <w:rFonts w:ascii="Calibri" w:cs="Calibri" w:eastAsia="Calibri" w:hAnsi="Calibri"/>
                <w:b/>
                <w:bCs/>
                <w:color w:val="FFFFFF"/>
                <w:sz w:val="20"/>
                <w:szCs w:val="20"/>
              </w:rPr>
              <w:t xml:space="preserve">Komponen</w:t>
            </w:r>
          </w:p>
        </w:tc>
        <w:tc>
          <w:tcPr>
            <w:tcW w:type="dxa" w:w="1800"/>
            <w:shd w:fill="C44E52" w:color="auto" w:val="clear"/>
            <w:tcMar>
              <w:top w:type="dxa" w:w="60"/>
              <w:left w:type="dxa" w:w="100"/>
              <w:bottom w:type="dxa" w:w="60"/>
              <w:right w:type="dxa" w:w="100"/>
            </w:tcMar>
          </w:tcPr>
          <w:p>
            <w:r>
              <w:rPr>
                <w:rFonts w:ascii="Calibri" w:cs="Calibri" w:eastAsia="Calibri" w:hAnsi="Calibri"/>
                <w:b/>
                <w:bCs/>
                <w:color w:val="FFFFFF"/>
                <w:sz w:val="20"/>
                <w:szCs w:val="20"/>
              </w:rPr>
              <w:t xml:space="preserve">Eigenvalue</w:t>
            </w:r>
          </w:p>
        </w:tc>
        <w:tc>
          <w:tcPr>
            <w:tcW w:type="dxa" w:w="2200"/>
            <w:shd w:fill="C44E52" w:color="auto" w:val="clear"/>
            <w:tcMar>
              <w:top w:type="dxa" w:w="60"/>
              <w:left w:type="dxa" w:w="100"/>
              <w:bottom w:type="dxa" w:w="60"/>
              <w:right w:type="dxa" w:w="100"/>
            </w:tcMar>
          </w:tcPr>
          <w:p>
            <w:r>
              <w:rPr>
                <w:rFonts w:ascii="Calibri" w:cs="Calibri" w:eastAsia="Calibri" w:hAnsi="Calibri"/>
                <w:b/>
                <w:bCs/>
                <w:color w:val="FFFFFF"/>
                <w:sz w:val="20"/>
                <w:szCs w:val="20"/>
              </w:rPr>
              <w:t xml:space="preserve">Explained Var. (%)</w:t>
            </w:r>
          </w:p>
        </w:tc>
        <w:tc>
          <w:tcPr>
            <w:tcW w:type="dxa" w:w="2000"/>
            <w:shd w:fill="C44E52" w:color="auto" w:val="clear"/>
            <w:tcMar>
              <w:top w:type="dxa" w:w="60"/>
              <w:left w:type="dxa" w:w="100"/>
              <w:bottom w:type="dxa" w:w="60"/>
              <w:right w:type="dxa" w:w="100"/>
            </w:tcMar>
          </w:tcPr>
          <w:p>
            <w:r>
              <w:rPr>
                <w:rFonts w:ascii="Calibri" w:cs="Calibri" w:eastAsia="Calibri" w:hAnsi="Calibri"/>
                <w:b/>
                <w:bCs/>
                <w:color w:val="FFFFFF"/>
                <w:sz w:val="20"/>
                <w:szCs w:val="20"/>
              </w:rPr>
              <w:t xml:space="preserve">Kumulatif (%)</w:t>
            </w:r>
          </w:p>
        </w:tc>
        <w:tc>
          <w:tcPr>
            <w:tcW w:type="dxa" w:w="1800"/>
            <w:shd w:fill="C44E52" w:color="auto" w:val="clear"/>
            <w:tcMar>
              <w:top w:type="dxa" w:w="60"/>
              <w:left w:type="dxa" w:w="100"/>
              <w:bottom w:type="dxa" w:w="60"/>
              <w:right w:type="dxa" w:w="100"/>
            </w:tcMar>
          </w:tcPr>
          <w:p>
            <w:r>
              <w:rPr>
                <w:rFonts w:ascii="Calibri" w:cs="Calibri" w:eastAsia="Calibri" w:hAnsi="Calibri"/>
                <w:b/>
                <w:bCs/>
                <w:color w:val="FFFFFF"/>
                <w:sz w:val="20"/>
                <w:szCs w:val="20"/>
              </w:rPr>
              <w:t xml:space="preserve">Dipertahankan</w:t>
            </w:r>
          </w:p>
        </w:tc>
      </w:tr>
      <w:tr>
        <w:tc>
          <w:tcPr>
            <w:tcW w:type="dxa" w:w="1800"/>
            <w:tcMar>
              <w:top w:type="dxa" w:w="60"/>
              <w:left w:type="dxa" w:w="100"/>
              <w:bottom w:type="dxa" w:w="60"/>
              <w:right w:type="dxa" w:w="100"/>
            </w:tcMar>
          </w:tcPr>
          <w:p>
            <w:r>
              <w:rPr>
                <w:rFonts w:ascii="Calibri" w:cs="Calibri" w:eastAsia="Calibri" w:hAnsi="Calibri"/>
                <w:b w:val="false"/>
                <w:bCs w:val="false"/>
                <w:color w:val="000000"/>
                <w:sz w:val="20"/>
                <w:szCs w:val="20"/>
              </w:rPr>
              <w:t xml:space="preserve">PC1</w:t>
            </w:r>
          </w:p>
        </w:tc>
        <w:tc>
          <w:tcPr>
            <w:tcW w:type="dxa" w:w="1800"/>
            <w:tcMar>
              <w:top w:type="dxa" w:w="60"/>
              <w:left w:type="dxa" w:w="100"/>
              <w:bottom w:type="dxa" w:w="60"/>
              <w:right w:type="dxa" w:w="100"/>
            </w:tcMar>
          </w:tcPr>
          <w:p>
            <w:r>
              <w:rPr>
                <w:rFonts w:ascii="Calibri" w:cs="Calibri" w:eastAsia="Calibri" w:hAnsi="Calibri"/>
                <w:b w:val="false"/>
                <w:bCs w:val="false"/>
                <w:color w:val="000000"/>
                <w:sz w:val="20"/>
                <w:szCs w:val="20"/>
              </w:rPr>
              <w:t xml:space="preserve">4.300</w:t>
            </w:r>
          </w:p>
        </w:tc>
        <w:tc>
          <w:tcPr>
            <w:tcW w:type="dxa" w:w="2200"/>
            <w:tcMar>
              <w:top w:type="dxa" w:w="60"/>
              <w:left w:type="dxa" w:w="100"/>
              <w:bottom w:type="dxa" w:w="60"/>
              <w:right w:type="dxa" w:w="100"/>
            </w:tcMar>
          </w:tcPr>
          <w:p>
            <w:r>
              <w:rPr>
                <w:rFonts w:ascii="Calibri" w:cs="Calibri" w:eastAsia="Calibri" w:hAnsi="Calibri"/>
                <w:b w:val="false"/>
                <w:bCs w:val="false"/>
                <w:color w:val="000000"/>
                <w:sz w:val="20"/>
                <w:szCs w:val="20"/>
              </w:rPr>
              <w:t xml:space="preserve">30.69</w:t>
            </w:r>
          </w:p>
        </w:tc>
        <w:tc>
          <w:tcPr>
            <w:tcW w:type="dxa" w:w="2000"/>
            <w:tcMar>
              <w:top w:type="dxa" w:w="60"/>
              <w:left w:type="dxa" w:w="100"/>
              <w:bottom w:type="dxa" w:w="60"/>
              <w:right w:type="dxa" w:w="100"/>
            </w:tcMar>
          </w:tcPr>
          <w:p>
            <w:r>
              <w:rPr>
                <w:rFonts w:ascii="Calibri" w:cs="Calibri" w:eastAsia="Calibri" w:hAnsi="Calibri"/>
                <w:b w:val="false"/>
                <w:bCs w:val="false"/>
                <w:color w:val="000000"/>
                <w:sz w:val="20"/>
                <w:szCs w:val="20"/>
              </w:rPr>
              <w:t xml:space="preserve">30.69</w:t>
            </w:r>
          </w:p>
        </w:tc>
        <w:tc>
          <w:tcPr>
            <w:tcW w:type="dxa" w:w="1800"/>
            <w:tcMar>
              <w:top w:type="dxa" w:w="60"/>
              <w:left w:type="dxa" w:w="100"/>
              <w:bottom w:type="dxa" w:w="60"/>
              <w:right w:type="dxa" w:w="100"/>
            </w:tcMar>
          </w:tcPr>
          <w:p>
            <w:r>
              <w:rPr>
                <w:rFonts w:ascii="Calibri" w:cs="Calibri" w:eastAsia="Calibri" w:hAnsi="Calibri"/>
                <w:b w:val="false"/>
                <w:bCs w:val="false"/>
                <w:color w:val="000000"/>
                <w:sz w:val="20"/>
                <w:szCs w:val="20"/>
              </w:rPr>
              <w:t xml:space="preserve">Ya</w:t>
            </w:r>
          </w:p>
        </w:tc>
      </w:tr>
      <w:tr>
        <w:tc>
          <w:tcPr>
            <w:tcW w:type="dxa" w:w="1800"/>
            <w:tcMar>
              <w:top w:type="dxa" w:w="60"/>
              <w:left w:type="dxa" w:w="100"/>
              <w:bottom w:type="dxa" w:w="60"/>
              <w:right w:type="dxa" w:w="100"/>
            </w:tcMar>
          </w:tcPr>
          <w:p>
            <w:r>
              <w:rPr>
                <w:rFonts w:ascii="Calibri" w:cs="Calibri" w:eastAsia="Calibri" w:hAnsi="Calibri"/>
                <w:b w:val="false"/>
                <w:bCs w:val="false"/>
                <w:color w:val="000000"/>
                <w:sz w:val="20"/>
                <w:szCs w:val="20"/>
              </w:rPr>
              <w:t xml:space="preserve">PC2</w:t>
            </w:r>
          </w:p>
        </w:tc>
        <w:tc>
          <w:tcPr>
            <w:tcW w:type="dxa" w:w="1800"/>
            <w:tcMar>
              <w:top w:type="dxa" w:w="60"/>
              <w:left w:type="dxa" w:w="100"/>
              <w:bottom w:type="dxa" w:w="60"/>
              <w:right w:type="dxa" w:w="100"/>
            </w:tcMar>
          </w:tcPr>
          <w:p>
            <w:r>
              <w:rPr>
                <w:rFonts w:ascii="Calibri" w:cs="Calibri" w:eastAsia="Calibri" w:hAnsi="Calibri"/>
                <w:b w:val="false"/>
                <w:bCs w:val="false"/>
                <w:color w:val="000000"/>
                <w:sz w:val="20"/>
                <w:szCs w:val="20"/>
              </w:rPr>
              <w:t xml:space="preserve">2.524</w:t>
            </w:r>
          </w:p>
        </w:tc>
        <w:tc>
          <w:tcPr>
            <w:tcW w:type="dxa" w:w="2200"/>
            <w:tcMar>
              <w:top w:type="dxa" w:w="60"/>
              <w:left w:type="dxa" w:w="100"/>
              <w:bottom w:type="dxa" w:w="60"/>
              <w:right w:type="dxa" w:w="100"/>
            </w:tcMar>
          </w:tcPr>
          <w:p>
            <w:r>
              <w:rPr>
                <w:rFonts w:ascii="Calibri" w:cs="Calibri" w:eastAsia="Calibri" w:hAnsi="Calibri"/>
                <w:b w:val="false"/>
                <w:bCs w:val="false"/>
                <w:color w:val="000000"/>
                <w:sz w:val="20"/>
                <w:szCs w:val="20"/>
              </w:rPr>
              <w:t xml:space="preserve">18.01</w:t>
            </w:r>
          </w:p>
        </w:tc>
        <w:tc>
          <w:tcPr>
            <w:tcW w:type="dxa" w:w="2000"/>
            <w:tcMar>
              <w:top w:type="dxa" w:w="60"/>
              <w:left w:type="dxa" w:w="100"/>
              <w:bottom w:type="dxa" w:w="60"/>
              <w:right w:type="dxa" w:w="100"/>
            </w:tcMar>
          </w:tcPr>
          <w:p>
            <w:r>
              <w:rPr>
                <w:rFonts w:ascii="Calibri" w:cs="Calibri" w:eastAsia="Calibri" w:hAnsi="Calibri"/>
                <w:b w:val="false"/>
                <w:bCs w:val="false"/>
                <w:color w:val="000000"/>
                <w:sz w:val="20"/>
                <w:szCs w:val="20"/>
              </w:rPr>
              <w:t xml:space="preserve">48.71</w:t>
            </w:r>
          </w:p>
        </w:tc>
        <w:tc>
          <w:tcPr>
            <w:tcW w:type="dxa" w:w="1800"/>
            <w:tcMar>
              <w:top w:type="dxa" w:w="60"/>
              <w:left w:type="dxa" w:w="100"/>
              <w:bottom w:type="dxa" w:w="60"/>
              <w:right w:type="dxa" w:w="100"/>
            </w:tcMar>
          </w:tcPr>
          <w:p>
            <w:r>
              <w:rPr>
                <w:rFonts w:ascii="Calibri" w:cs="Calibri" w:eastAsia="Calibri" w:hAnsi="Calibri"/>
                <w:b w:val="false"/>
                <w:bCs w:val="false"/>
                <w:color w:val="000000"/>
                <w:sz w:val="20"/>
                <w:szCs w:val="20"/>
              </w:rPr>
              <w:t xml:space="preserve">Ya</w:t>
            </w:r>
          </w:p>
        </w:tc>
      </w:tr>
      <w:tr>
        <w:tc>
          <w:tcPr>
            <w:tcW w:type="dxa" w:w="1800"/>
            <w:tcMar>
              <w:top w:type="dxa" w:w="60"/>
              <w:left w:type="dxa" w:w="100"/>
              <w:bottom w:type="dxa" w:w="60"/>
              <w:right w:type="dxa" w:w="100"/>
            </w:tcMar>
          </w:tcPr>
          <w:p>
            <w:r>
              <w:rPr>
                <w:rFonts w:ascii="Calibri" w:cs="Calibri" w:eastAsia="Calibri" w:hAnsi="Calibri"/>
                <w:b w:val="false"/>
                <w:bCs w:val="false"/>
                <w:color w:val="000000"/>
                <w:sz w:val="20"/>
                <w:szCs w:val="20"/>
              </w:rPr>
              <w:t xml:space="preserve">PC3</w:t>
            </w:r>
          </w:p>
        </w:tc>
        <w:tc>
          <w:tcPr>
            <w:tcW w:type="dxa" w:w="1800"/>
            <w:tcMar>
              <w:top w:type="dxa" w:w="60"/>
              <w:left w:type="dxa" w:w="100"/>
              <w:bottom w:type="dxa" w:w="60"/>
              <w:right w:type="dxa" w:w="100"/>
            </w:tcMar>
          </w:tcPr>
          <w:p>
            <w:r>
              <w:rPr>
                <w:rFonts w:ascii="Calibri" w:cs="Calibri" w:eastAsia="Calibri" w:hAnsi="Calibri"/>
                <w:b w:val="false"/>
                <w:bCs w:val="false"/>
                <w:color w:val="000000"/>
                <w:sz w:val="20"/>
                <w:szCs w:val="20"/>
              </w:rPr>
              <w:t xml:space="preserve">1.581</w:t>
            </w:r>
          </w:p>
        </w:tc>
        <w:tc>
          <w:tcPr>
            <w:tcW w:type="dxa" w:w="2200"/>
            <w:tcMar>
              <w:top w:type="dxa" w:w="60"/>
              <w:left w:type="dxa" w:w="100"/>
              <w:bottom w:type="dxa" w:w="60"/>
              <w:right w:type="dxa" w:w="100"/>
            </w:tcMar>
          </w:tcPr>
          <w:p>
            <w:r>
              <w:rPr>
                <w:rFonts w:ascii="Calibri" w:cs="Calibri" w:eastAsia="Calibri" w:hAnsi="Calibri"/>
                <w:b w:val="false"/>
                <w:bCs w:val="false"/>
                <w:color w:val="000000"/>
                <w:sz w:val="20"/>
                <w:szCs w:val="20"/>
              </w:rPr>
              <w:t xml:space="preserve">11.29</w:t>
            </w:r>
          </w:p>
        </w:tc>
        <w:tc>
          <w:tcPr>
            <w:tcW w:type="dxa" w:w="2000"/>
            <w:tcMar>
              <w:top w:type="dxa" w:w="60"/>
              <w:left w:type="dxa" w:w="100"/>
              <w:bottom w:type="dxa" w:w="60"/>
              <w:right w:type="dxa" w:w="100"/>
            </w:tcMar>
          </w:tcPr>
          <w:p>
            <w:r>
              <w:rPr>
                <w:rFonts w:ascii="Calibri" w:cs="Calibri" w:eastAsia="Calibri" w:hAnsi="Calibri"/>
                <w:b w:val="false"/>
                <w:bCs w:val="false"/>
                <w:color w:val="000000"/>
                <w:sz w:val="20"/>
                <w:szCs w:val="20"/>
              </w:rPr>
              <w:t xml:space="preserve">59.99</w:t>
            </w:r>
          </w:p>
        </w:tc>
        <w:tc>
          <w:tcPr>
            <w:tcW w:type="dxa" w:w="1800"/>
            <w:tcMar>
              <w:top w:type="dxa" w:w="60"/>
              <w:left w:type="dxa" w:w="100"/>
              <w:bottom w:type="dxa" w:w="60"/>
              <w:right w:type="dxa" w:w="100"/>
            </w:tcMar>
          </w:tcPr>
          <w:p>
            <w:r>
              <w:rPr>
                <w:rFonts w:ascii="Calibri" w:cs="Calibri" w:eastAsia="Calibri" w:hAnsi="Calibri"/>
                <w:b w:val="false"/>
                <w:bCs w:val="false"/>
                <w:color w:val="000000"/>
                <w:sz w:val="20"/>
                <w:szCs w:val="20"/>
              </w:rPr>
              <w:t xml:space="preserve">Ya</w:t>
            </w:r>
          </w:p>
        </w:tc>
      </w:tr>
      <w:tr>
        <w:tc>
          <w:tcPr>
            <w:tcW w:type="dxa" w:w="1800"/>
            <w:tcMar>
              <w:top w:type="dxa" w:w="60"/>
              <w:left w:type="dxa" w:w="100"/>
              <w:bottom w:type="dxa" w:w="60"/>
              <w:right w:type="dxa" w:w="100"/>
            </w:tcMar>
          </w:tcPr>
          <w:p>
            <w:r>
              <w:rPr>
                <w:rFonts w:ascii="Calibri" w:cs="Calibri" w:eastAsia="Calibri" w:hAnsi="Calibri"/>
                <w:b w:val="false"/>
                <w:bCs w:val="false"/>
                <w:color w:val="000000"/>
                <w:sz w:val="20"/>
                <w:szCs w:val="20"/>
              </w:rPr>
              <w:t xml:space="preserve">PC4</w:t>
            </w:r>
          </w:p>
        </w:tc>
        <w:tc>
          <w:tcPr>
            <w:tcW w:type="dxa" w:w="1800"/>
            <w:tcMar>
              <w:top w:type="dxa" w:w="60"/>
              <w:left w:type="dxa" w:w="100"/>
              <w:bottom w:type="dxa" w:w="60"/>
              <w:right w:type="dxa" w:w="100"/>
            </w:tcMar>
          </w:tcPr>
          <w:p>
            <w:r>
              <w:rPr>
                <w:rFonts w:ascii="Calibri" w:cs="Calibri" w:eastAsia="Calibri" w:hAnsi="Calibri"/>
                <w:b w:val="false"/>
                <w:bCs w:val="false"/>
                <w:color w:val="000000"/>
                <w:sz w:val="20"/>
                <w:szCs w:val="20"/>
              </w:rPr>
              <w:t xml:space="preserve">1.089</w:t>
            </w:r>
          </w:p>
        </w:tc>
        <w:tc>
          <w:tcPr>
            <w:tcW w:type="dxa" w:w="2200"/>
            <w:tcMar>
              <w:top w:type="dxa" w:w="60"/>
              <w:left w:type="dxa" w:w="100"/>
              <w:bottom w:type="dxa" w:w="60"/>
              <w:right w:type="dxa" w:w="100"/>
            </w:tcMar>
          </w:tcPr>
          <w:p>
            <w:r>
              <w:rPr>
                <w:rFonts w:ascii="Calibri" w:cs="Calibri" w:eastAsia="Calibri" w:hAnsi="Calibri"/>
                <w:b w:val="false"/>
                <w:bCs w:val="false"/>
                <w:color w:val="000000"/>
                <w:sz w:val="20"/>
                <w:szCs w:val="20"/>
              </w:rPr>
              <w:t xml:space="preserve">7.77</w:t>
            </w:r>
          </w:p>
        </w:tc>
        <w:tc>
          <w:tcPr>
            <w:tcW w:type="dxa" w:w="2000"/>
            <w:tcMar>
              <w:top w:type="dxa" w:w="60"/>
              <w:left w:type="dxa" w:w="100"/>
              <w:bottom w:type="dxa" w:w="60"/>
              <w:right w:type="dxa" w:w="100"/>
            </w:tcMar>
          </w:tcPr>
          <w:p>
            <w:r>
              <w:rPr>
                <w:rFonts w:ascii="Calibri" w:cs="Calibri" w:eastAsia="Calibri" w:hAnsi="Calibri"/>
                <w:b w:val="false"/>
                <w:bCs w:val="false"/>
                <w:color w:val="000000"/>
                <w:sz w:val="20"/>
                <w:szCs w:val="20"/>
              </w:rPr>
              <w:t xml:space="preserve">67.77</w:t>
            </w:r>
          </w:p>
        </w:tc>
        <w:tc>
          <w:tcPr>
            <w:tcW w:type="dxa" w:w="1800"/>
            <w:tcMar>
              <w:top w:type="dxa" w:w="60"/>
              <w:left w:type="dxa" w:w="100"/>
              <w:bottom w:type="dxa" w:w="60"/>
              <w:right w:type="dxa" w:w="100"/>
            </w:tcMar>
          </w:tcPr>
          <w:p>
            <w:r>
              <w:rPr>
                <w:rFonts w:ascii="Calibri" w:cs="Calibri" w:eastAsia="Calibri" w:hAnsi="Calibri"/>
                <w:b w:val="false"/>
                <w:bCs w:val="false"/>
                <w:color w:val="000000"/>
                <w:sz w:val="20"/>
                <w:szCs w:val="20"/>
              </w:rPr>
              <w:t xml:space="preserve">Ya</w:t>
            </w:r>
          </w:p>
        </w:tc>
      </w:tr>
      <w:tr>
        <w:tc>
          <w:tcPr>
            <w:tcW w:type="dxa" w:w="1800"/>
            <w:tcMar>
              <w:top w:type="dxa" w:w="60"/>
              <w:left w:type="dxa" w:w="100"/>
              <w:bottom w:type="dxa" w:w="60"/>
              <w:right w:type="dxa" w:w="100"/>
            </w:tcMar>
          </w:tcPr>
          <w:p>
            <w:r>
              <w:rPr>
                <w:rFonts w:ascii="Calibri" w:cs="Calibri" w:eastAsia="Calibri" w:hAnsi="Calibri"/>
                <w:b w:val="false"/>
                <w:bCs w:val="false"/>
                <w:color w:val="000000"/>
                <w:sz w:val="20"/>
                <w:szCs w:val="20"/>
              </w:rPr>
              <w:t xml:space="preserve">PC5</w:t>
            </w:r>
          </w:p>
        </w:tc>
        <w:tc>
          <w:tcPr>
            <w:tcW w:type="dxa" w:w="1800"/>
            <w:tcMar>
              <w:top w:type="dxa" w:w="60"/>
              <w:left w:type="dxa" w:w="100"/>
              <w:bottom w:type="dxa" w:w="60"/>
              <w:right w:type="dxa" w:w="100"/>
            </w:tcMar>
          </w:tcPr>
          <w:p>
            <w:r>
              <w:rPr>
                <w:rFonts w:ascii="Calibri" w:cs="Calibri" w:eastAsia="Calibri" w:hAnsi="Calibri"/>
                <w:b w:val="false"/>
                <w:bCs w:val="false"/>
                <w:color w:val="000000"/>
                <w:sz w:val="20"/>
                <w:szCs w:val="20"/>
              </w:rPr>
              <w:t xml:space="preserve">1.010</w:t>
            </w:r>
          </w:p>
        </w:tc>
        <w:tc>
          <w:tcPr>
            <w:tcW w:type="dxa" w:w="2200"/>
            <w:tcMar>
              <w:top w:type="dxa" w:w="60"/>
              <w:left w:type="dxa" w:w="100"/>
              <w:bottom w:type="dxa" w:w="60"/>
              <w:right w:type="dxa" w:w="100"/>
            </w:tcMar>
          </w:tcPr>
          <w:p>
            <w:r>
              <w:rPr>
                <w:rFonts w:ascii="Calibri" w:cs="Calibri" w:eastAsia="Calibri" w:hAnsi="Calibri"/>
                <w:b w:val="false"/>
                <w:bCs w:val="false"/>
                <w:color w:val="000000"/>
                <w:sz w:val="20"/>
                <w:szCs w:val="20"/>
              </w:rPr>
              <w:t xml:space="preserve">7.21</w:t>
            </w:r>
          </w:p>
        </w:tc>
        <w:tc>
          <w:tcPr>
            <w:tcW w:type="dxa" w:w="2000"/>
            <w:tcMar>
              <w:top w:type="dxa" w:w="60"/>
              <w:left w:type="dxa" w:w="100"/>
              <w:bottom w:type="dxa" w:w="60"/>
              <w:right w:type="dxa" w:w="100"/>
            </w:tcMar>
          </w:tcPr>
          <w:p>
            <w:r>
              <w:rPr>
                <w:rFonts w:ascii="Calibri" w:cs="Calibri" w:eastAsia="Calibri" w:hAnsi="Calibri"/>
                <w:b w:val="false"/>
                <w:bCs w:val="false"/>
                <w:color w:val="000000"/>
                <w:sz w:val="20"/>
                <w:szCs w:val="20"/>
              </w:rPr>
              <w:t xml:space="preserve">74.97</w:t>
            </w:r>
          </w:p>
        </w:tc>
        <w:tc>
          <w:tcPr>
            <w:tcW w:type="dxa" w:w="1800"/>
            <w:tcMar>
              <w:top w:type="dxa" w:w="60"/>
              <w:left w:type="dxa" w:w="100"/>
              <w:bottom w:type="dxa" w:w="60"/>
              <w:right w:type="dxa" w:w="100"/>
            </w:tcMar>
          </w:tcPr>
          <w:p>
            <w:r>
              <w:rPr>
                <w:rFonts w:ascii="Calibri" w:cs="Calibri" w:eastAsia="Calibri" w:hAnsi="Calibri"/>
                <w:b w:val="false"/>
                <w:bCs w:val="false"/>
                <w:color w:val="000000"/>
                <w:sz w:val="20"/>
                <w:szCs w:val="20"/>
              </w:rPr>
              <w:t xml:space="preserve">Ya</w:t>
            </w:r>
          </w:p>
        </w:tc>
      </w:tr>
      <w:tr>
        <w:tc>
          <w:tcPr>
            <w:tcW w:type="dxa" w:w="1800"/>
            <w:tcMar>
              <w:top w:type="dxa" w:w="60"/>
              <w:left w:type="dxa" w:w="100"/>
              <w:bottom w:type="dxa" w:w="60"/>
              <w:right w:type="dxa" w:w="100"/>
            </w:tcMar>
          </w:tcPr>
          <w:p>
            <w:r>
              <w:rPr>
                <w:rFonts w:ascii="Calibri" w:cs="Calibri" w:eastAsia="Calibri" w:hAnsi="Calibri"/>
                <w:b w:val="false"/>
                <w:bCs w:val="false"/>
                <w:color w:val="000000"/>
                <w:sz w:val="20"/>
                <w:szCs w:val="20"/>
              </w:rPr>
              <w:t xml:space="preserve">PC6</w:t>
            </w:r>
          </w:p>
        </w:tc>
        <w:tc>
          <w:tcPr>
            <w:tcW w:type="dxa" w:w="1800"/>
            <w:tcMar>
              <w:top w:type="dxa" w:w="60"/>
              <w:left w:type="dxa" w:w="100"/>
              <w:bottom w:type="dxa" w:w="60"/>
              <w:right w:type="dxa" w:w="100"/>
            </w:tcMar>
          </w:tcPr>
          <w:p>
            <w:r>
              <w:rPr>
                <w:rFonts w:ascii="Calibri" w:cs="Calibri" w:eastAsia="Calibri" w:hAnsi="Calibri"/>
                <w:b w:val="false"/>
                <w:bCs w:val="false"/>
                <w:color w:val="000000"/>
                <w:sz w:val="20"/>
                <w:szCs w:val="20"/>
              </w:rPr>
              <w:t xml:space="preserve">0.939</w:t>
            </w:r>
          </w:p>
        </w:tc>
        <w:tc>
          <w:tcPr>
            <w:tcW w:type="dxa" w:w="2200"/>
            <w:tcMar>
              <w:top w:type="dxa" w:w="60"/>
              <w:left w:type="dxa" w:w="100"/>
              <w:bottom w:type="dxa" w:w="60"/>
              <w:right w:type="dxa" w:w="100"/>
            </w:tcMar>
          </w:tcPr>
          <w:p>
            <w:r>
              <w:rPr>
                <w:rFonts w:ascii="Calibri" w:cs="Calibri" w:eastAsia="Calibri" w:hAnsi="Calibri"/>
                <w:b w:val="false"/>
                <w:bCs w:val="false"/>
                <w:color w:val="000000"/>
                <w:sz w:val="20"/>
                <w:szCs w:val="20"/>
              </w:rPr>
              <w:t xml:space="preserve">6.70</w:t>
            </w:r>
          </w:p>
        </w:tc>
        <w:tc>
          <w:tcPr>
            <w:tcW w:type="dxa" w:w="2000"/>
            <w:tcMar>
              <w:top w:type="dxa" w:w="60"/>
              <w:left w:type="dxa" w:w="100"/>
              <w:bottom w:type="dxa" w:w="60"/>
              <w:right w:type="dxa" w:w="100"/>
            </w:tcMar>
          </w:tcPr>
          <w:p>
            <w:r>
              <w:rPr>
                <w:rFonts w:ascii="Calibri" w:cs="Calibri" w:eastAsia="Calibri" w:hAnsi="Calibri"/>
                <w:b w:val="false"/>
                <w:bCs w:val="false"/>
                <w:color w:val="000000"/>
                <w:sz w:val="20"/>
                <w:szCs w:val="20"/>
              </w:rPr>
              <w:t xml:space="preserve">81.68</w:t>
            </w:r>
          </w:p>
        </w:tc>
        <w:tc>
          <w:tcPr>
            <w:tcW w:type="dxa" w:w="1800"/>
            <w:tcMar>
              <w:top w:type="dxa" w:w="60"/>
              <w:left w:type="dxa" w:w="100"/>
              <w:bottom w:type="dxa" w:w="60"/>
              <w:right w:type="dxa" w:w="100"/>
            </w:tcMar>
          </w:tcPr>
          <w:p>
            <w:r>
              <w:rPr>
                <w:rFonts w:ascii="Calibri" w:cs="Calibri" w:eastAsia="Calibri" w:hAnsi="Calibri"/>
                <w:b w:val="false"/>
                <w:bCs w:val="false"/>
                <w:color w:val="000000"/>
                <w:sz w:val="20"/>
                <w:szCs w:val="20"/>
              </w:rPr>
              <w:t xml:space="preserve">Ya</w:t>
            </w:r>
          </w:p>
        </w:tc>
      </w:tr>
      <w:tr>
        <w:tc>
          <w:tcPr>
            <w:tcW w:type="dxa" w:w="1800"/>
            <w:tcMar>
              <w:top w:type="dxa" w:w="60"/>
              <w:left w:type="dxa" w:w="100"/>
              <w:bottom w:type="dxa" w:w="60"/>
              <w:right w:type="dxa" w:w="100"/>
            </w:tcMar>
          </w:tcPr>
          <w:p>
            <w:r>
              <w:rPr>
                <w:rFonts w:ascii="Calibri" w:cs="Calibri" w:eastAsia="Calibri" w:hAnsi="Calibri"/>
                <w:b w:val="false"/>
                <w:bCs w:val="false"/>
                <w:color w:val="000000"/>
                <w:sz w:val="20"/>
                <w:szCs w:val="20"/>
              </w:rPr>
              <w:t xml:space="preserve">PC7</w:t>
            </w:r>
          </w:p>
        </w:tc>
        <w:tc>
          <w:tcPr>
            <w:tcW w:type="dxa" w:w="1800"/>
            <w:tcMar>
              <w:top w:type="dxa" w:w="60"/>
              <w:left w:type="dxa" w:w="100"/>
              <w:bottom w:type="dxa" w:w="60"/>
              <w:right w:type="dxa" w:w="100"/>
            </w:tcMar>
          </w:tcPr>
          <w:p>
            <w:r>
              <w:rPr>
                <w:rFonts w:ascii="Calibri" w:cs="Calibri" w:eastAsia="Calibri" w:hAnsi="Calibri"/>
                <w:b w:val="false"/>
                <w:bCs w:val="false"/>
                <w:color w:val="000000"/>
                <w:sz w:val="20"/>
                <w:szCs w:val="20"/>
              </w:rPr>
              <w:t xml:space="preserve">0.732</w:t>
            </w:r>
          </w:p>
        </w:tc>
        <w:tc>
          <w:tcPr>
            <w:tcW w:type="dxa" w:w="2200"/>
            <w:tcMar>
              <w:top w:type="dxa" w:w="60"/>
              <w:left w:type="dxa" w:w="100"/>
              <w:bottom w:type="dxa" w:w="60"/>
              <w:right w:type="dxa" w:w="100"/>
            </w:tcMar>
          </w:tcPr>
          <w:p>
            <w:r>
              <w:rPr>
                <w:rFonts w:ascii="Calibri" w:cs="Calibri" w:eastAsia="Calibri" w:hAnsi="Calibri"/>
                <w:b w:val="false"/>
                <w:bCs w:val="false"/>
                <w:color w:val="000000"/>
                <w:sz w:val="20"/>
                <w:szCs w:val="20"/>
              </w:rPr>
              <w:t xml:space="preserve">5.22</w:t>
            </w:r>
          </w:p>
        </w:tc>
        <w:tc>
          <w:tcPr>
            <w:tcW w:type="dxa" w:w="2000"/>
            <w:tcMar>
              <w:top w:type="dxa" w:w="60"/>
              <w:left w:type="dxa" w:w="100"/>
              <w:bottom w:type="dxa" w:w="60"/>
              <w:right w:type="dxa" w:w="100"/>
            </w:tcMar>
          </w:tcPr>
          <w:p>
            <w:r>
              <w:rPr>
                <w:rFonts w:ascii="Calibri" w:cs="Calibri" w:eastAsia="Calibri" w:hAnsi="Calibri"/>
                <w:b w:val="false"/>
                <w:bCs w:val="false"/>
                <w:color w:val="000000"/>
                <w:sz w:val="20"/>
                <w:szCs w:val="20"/>
              </w:rPr>
              <w:t xml:space="preserve">86.90</w:t>
            </w:r>
          </w:p>
        </w:tc>
        <w:tc>
          <w:tcPr>
            <w:tcW w:type="dxa" w:w="1800"/>
            <w:tcMar>
              <w:top w:type="dxa" w:w="60"/>
              <w:left w:type="dxa" w:w="100"/>
              <w:bottom w:type="dxa" w:w="60"/>
              <w:right w:type="dxa" w:w="100"/>
            </w:tcMar>
          </w:tcPr>
          <w:p>
            <w:r>
              <w:rPr>
                <w:rFonts w:ascii="Calibri" w:cs="Calibri" w:eastAsia="Calibri" w:hAnsi="Calibri"/>
                <w:b w:val="false"/>
                <w:bCs w:val="false"/>
                <w:color w:val="000000"/>
                <w:sz w:val="20"/>
                <w:szCs w:val="20"/>
              </w:rPr>
              <w:t xml:space="preserve">Ya</w:t>
            </w:r>
          </w:p>
        </w:tc>
      </w:tr>
      <w:tr>
        <w:tc>
          <w:tcPr>
            <w:tcW w:type="dxa" w:w="1800"/>
            <w:tcMar>
              <w:top w:type="dxa" w:w="60"/>
              <w:left w:type="dxa" w:w="100"/>
              <w:bottom w:type="dxa" w:w="60"/>
              <w:right w:type="dxa" w:w="100"/>
            </w:tcMar>
          </w:tcPr>
          <w:p>
            <w:r>
              <w:rPr>
                <w:rFonts w:ascii="Calibri" w:cs="Calibri" w:eastAsia="Calibri" w:hAnsi="Calibri"/>
                <w:b w:val="false"/>
                <w:bCs w:val="false"/>
                <w:color w:val="000000"/>
                <w:sz w:val="20"/>
                <w:szCs w:val="20"/>
              </w:rPr>
              <w:t xml:space="preserve">PC8</w:t>
            </w:r>
          </w:p>
        </w:tc>
        <w:tc>
          <w:tcPr>
            <w:tcW w:type="dxa" w:w="1800"/>
            <w:tcMar>
              <w:top w:type="dxa" w:w="60"/>
              <w:left w:type="dxa" w:w="100"/>
              <w:bottom w:type="dxa" w:w="60"/>
              <w:right w:type="dxa" w:w="100"/>
            </w:tcMar>
          </w:tcPr>
          <w:p>
            <w:r>
              <w:rPr>
                <w:rFonts w:ascii="Calibri" w:cs="Calibri" w:eastAsia="Calibri" w:hAnsi="Calibri"/>
                <w:b w:val="false"/>
                <w:bCs w:val="false"/>
                <w:color w:val="000000"/>
                <w:sz w:val="20"/>
                <w:szCs w:val="20"/>
              </w:rPr>
              <w:t xml:space="preserve">0.685</w:t>
            </w:r>
          </w:p>
        </w:tc>
        <w:tc>
          <w:tcPr>
            <w:tcW w:type="dxa" w:w="2200"/>
            <w:tcMar>
              <w:top w:type="dxa" w:w="60"/>
              <w:left w:type="dxa" w:w="100"/>
              <w:bottom w:type="dxa" w:w="60"/>
              <w:right w:type="dxa" w:w="100"/>
            </w:tcMar>
          </w:tcPr>
          <w:p>
            <w:r>
              <w:rPr>
                <w:rFonts w:ascii="Calibri" w:cs="Calibri" w:eastAsia="Calibri" w:hAnsi="Calibri"/>
                <w:b w:val="false"/>
                <w:bCs w:val="false"/>
                <w:color w:val="000000"/>
                <w:sz w:val="20"/>
                <w:szCs w:val="20"/>
              </w:rPr>
              <w:t xml:space="preserve">4.89</w:t>
            </w:r>
          </w:p>
        </w:tc>
        <w:tc>
          <w:tcPr>
            <w:tcW w:type="dxa" w:w="2000"/>
            <w:tcMar>
              <w:top w:type="dxa" w:w="60"/>
              <w:left w:type="dxa" w:w="100"/>
              <w:bottom w:type="dxa" w:w="60"/>
              <w:right w:type="dxa" w:w="100"/>
            </w:tcMar>
          </w:tcPr>
          <w:p>
            <w:r>
              <w:rPr>
                <w:rFonts w:ascii="Calibri" w:cs="Calibri" w:eastAsia="Calibri" w:hAnsi="Calibri"/>
                <w:b w:val="false"/>
                <w:bCs w:val="false"/>
                <w:color w:val="000000"/>
                <w:sz w:val="20"/>
                <w:szCs w:val="20"/>
              </w:rPr>
              <w:t xml:space="preserve">91.79</w:t>
            </w:r>
          </w:p>
        </w:tc>
        <w:tc>
          <w:tcPr>
            <w:tcW w:type="dxa" w:w="1800"/>
            <w:tcMar>
              <w:top w:type="dxa" w:w="60"/>
              <w:left w:type="dxa" w:w="100"/>
              <w:bottom w:type="dxa" w:w="60"/>
              <w:right w:type="dxa" w:w="100"/>
            </w:tcMar>
          </w:tcPr>
          <w:p>
            <w:r>
              <w:rPr>
                <w:rFonts w:ascii="Calibri" w:cs="Calibri" w:eastAsia="Calibri" w:hAnsi="Calibri"/>
                <w:b w:val="false"/>
                <w:bCs w:val="false"/>
                <w:color w:val="000000"/>
                <w:sz w:val="20"/>
                <w:szCs w:val="20"/>
              </w:rPr>
              <w:t xml:space="preserve">Ya</w:t>
            </w:r>
          </w:p>
        </w:tc>
      </w:tr>
      <w:tr>
        <w:tc>
          <w:tcPr>
            <w:tcW w:type="dxa" w:w="1800"/>
            <w:tcMar>
              <w:top w:type="dxa" w:w="60"/>
              <w:left w:type="dxa" w:w="100"/>
              <w:bottom w:type="dxa" w:w="60"/>
              <w:right w:type="dxa" w:w="100"/>
            </w:tcMar>
          </w:tcPr>
          <w:p>
            <w:r>
              <w:rPr>
                <w:rFonts w:ascii="Calibri" w:cs="Calibri" w:eastAsia="Calibri" w:hAnsi="Calibri"/>
                <w:b w:val="false"/>
                <w:bCs w:val="false"/>
                <w:color w:val="000000"/>
                <w:sz w:val="20"/>
                <w:szCs w:val="20"/>
              </w:rPr>
              <w:t xml:space="preserve">PC9</w:t>
            </w:r>
          </w:p>
        </w:tc>
        <w:tc>
          <w:tcPr>
            <w:tcW w:type="dxa" w:w="1800"/>
            <w:tcMar>
              <w:top w:type="dxa" w:w="60"/>
              <w:left w:type="dxa" w:w="100"/>
              <w:bottom w:type="dxa" w:w="60"/>
              <w:right w:type="dxa" w:w="100"/>
            </w:tcMar>
          </w:tcPr>
          <w:p>
            <w:r>
              <w:rPr>
                <w:rFonts w:ascii="Calibri" w:cs="Calibri" w:eastAsia="Calibri" w:hAnsi="Calibri"/>
                <w:b w:val="false"/>
                <w:bCs w:val="false"/>
                <w:color w:val="000000"/>
                <w:sz w:val="20"/>
                <w:szCs w:val="20"/>
              </w:rPr>
              <w:t xml:space="preserve">0.507</w:t>
            </w:r>
          </w:p>
        </w:tc>
        <w:tc>
          <w:tcPr>
            <w:tcW w:type="dxa" w:w="2200"/>
            <w:tcMar>
              <w:top w:type="dxa" w:w="60"/>
              <w:left w:type="dxa" w:w="100"/>
              <w:bottom w:type="dxa" w:w="60"/>
              <w:right w:type="dxa" w:w="100"/>
            </w:tcMar>
          </w:tcPr>
          <w:p>
            <w:r>
              <w:rPr>
                <w:rFonts w:ascii="Calibri" w:cs="Calibri" w:eastAsia="Calibri" w:hAnsi="Calibri"/>
                <w:b w:val="false"/>
                <w:bCs w:val="false"/>
                <w:color w:val="000000"/>
                <w:sz w:val="20"/>
                <w:szCs w:val="20"/>
              </w:rPr>
              <w:t xml:space="preserve">3.62</w:t>
            </w:r>
          </w:p>
        </w:tc>
        <w:tc>
          <w:tcPr>
            <w:tcW w:type="dxa" w:w="2000"/>
            <w:tcMar>
              <w:top w:type="dxa" w:w="60"/>
              <w:left w:type="dxa" w:w="100"/>
              <w:bottom w:type="dxa" w:w="60"/>
              <w:right w:type="dxa" w:w="100"/>
            </w:tcMar>
          </w:tcPr>
          <w:p>
            <w:r>
              <w:rPr>
                <w:rFonts w:ascii="Calibri" w:cs="Calibri" w:eastAsia="Calibri" w:hAnsi="Calibri"/>
                <w:b w:val="false"/>
                <w:bCs w:val="false"/>
                <w:color w:val="000000"/>
                <w:sz w:val="20"/>
                <w:szCs w:val="20"/>
              </w:rPr>
              <w:t xml:space="preserve">95.41</w:t>
            </w:r>
          </w:p>
        </w:tc>
        <w:tc>
          <w:tcPr>
            <w:tcW w:type="dxa" w:w="1800"/>
            <w:tcMar>
              <w:top w:type="dxa" w:w="60"/>
              <w:left w:type="dxa" w:w="100"/>
              <w:bottom w:type="dxa" w:w="60"/>
              <w:right w:type="dxa" w:w="100"/>
            </w:tcMar>
          </w:tcPr>
          <w:p>
            <w:r>
              <w:rPr>
                <w:rFonts w:ascii="Calibri" w:cs="Calibri" w:eastAsia="Calibri" w:hAnsi="Calibri"/>
                <w:b w:val="false"/>
                <w:bCs w:val="false"/>
                <w:color w:val="000000"/>
                <w:sz w:val="20"/>
                <w:szCs w:val="20"/>
              </w:rPr>
              <w:t xml:space="preserve">Ya</w:t>
            </w:r>
          </w:p>
        </w:tc>
      </w:tr>
      <w:tr>
        <w:tc>
          <w:tcPr>
            <w:tcW w:type="dxa" w:w="1800"/>
            <w:tcMar>
              <w:top w:type="dxa" w:w="60"/>
              <w:left w:type="dxa" w:w="100"/>
              <w:bottom w:type="dxa" w:w="60"/>
              <w:right w:type="dxa" w:w="100"/>
            </w:tcMar>
          </w:tcPr>
          <w:p>
            <w:r>
              <w:rPr>
                <w:rFonts w:ascii="Calibri" w:cs="Calibri" w:eastAsia="Calibri" w:hAnsi="Calibri"/>
                <w:b w:val="false"/>
                <w:bCs w:val="false"/>
                <w:color w:val="000000"/>
                <w:sz w:val="20"/>
                <w:szCs w:val="20"/>
              </w:rPr>
              <w:t xml:space="preserve">PC10</w:t>
            </w:r>
          </w:p>
        </w:tc>
        <w:tc>
          <w:tcPr>
            <w:tcW w:type="dxa" w:w="1800"/>
            <w:tcMar>
              <w:top w:type="dxa" w:w="60"/>
              <w:left w:type="dxa" w:w="100"/>
              <w:bottom w:type="dxa" w:w="60"/>
              <w:right w:type="dxa" w:w="100"/>
            </w:tcMar>
          </w:tcPr>
          <w:p>
            <w:r>
              <w:rPr>
                <w:rFonts w:ascii="Calibri" w:cs="Calibri" w:eastAsia="Calibri" w:hAnsi="Calibri"/>
                <w:b w:val="false"/>
                <w:bCs w:val="false"/>
                <w:color w:val="000000"/>
                <w:sz w:val="20"/>
                <w:szCs w:val="20"/>
              </w:rPr>
              <w:t xml:space="preserve">0.478</w:t>
            </w:r>
          </w:p>
        </w:tc>
        <w:tc>
          <w:tcPr>
            <w:tcW w:type="dxa" w:w="2200"/>
            <w:tcMar>
              <w:top w:type="dxa" w:w="60"/>
              <w:left w:type="dxa" w:w="100"/>
              <w:bottom w:type="dxa" w:w="60"/>
              <w:right w:type="dxa" w:w="100"/>
            </w:tcMar>
          </w:tcPr>
          <w:p>
            <w:r>
              <w:rPr>
                <w:rFonts w:ascii="Calibri" w:cs="Calibri" w:eastAsia="Calibri" w:hAnsi="Calibri"/>
                <w:b w:val="false"/>
                <w:bCs w:val="false"/>
                <w:color w:val="000000"/>
                <w:sz w:val="20"/>
                <w:szCs w:val="20"/>
              </w:rPr>
              <w:t xml:space="preserve">3.41</w:t>
            </w:r>
          </w:p>
        </w:tc>
        <w:tc>
          <w:tcPr>
            <w:tcW w:type="dxa" w:w="2000"/>
            <w:tcMar>
              <w:top w:type="dxa" w:w="60"/>
              <w:left w:type="dxa" w:w="100"/>
              <w:bottom w:type="dxa" w:w="60"/>
              <w:right w:type="dxa" w:w="100"/>
            </w:tcMar>
          </w:tcPr>
          <w:p>
            <w:r>
              <w:rPr>
                <w:rFonts w:ascii="Calibri" w:cs="Calibri" w:eastAsia="Calibri" w:hAnsi="Calibri"/>
                <w:b w:val="false"/>
                <w:bCs w:val="false"/>
                <w:color w:val="000000"/>
                <w:sz w:val="20"/>
                <w:szCs w:val="20"/>
              </w:rPr>
              <w:t xml:space="preserve">98.82</w:t>
            </w:r>
          </w:p>
        </w:tc>
        <w:tc>
          <w:tcPr>
            <w:tcW w:type="dxa" w:w="1800"/>
            <w:tcMar>
              <w:top w:type="dxa" w:w="60"/>
              <w:left w:type="dxa" w:w="100"/>
              <w:bottom w:type="dxa" w:w="60"/>
              <w:right w:type="dxa" w:w="100"/>
            </w:tcMar>
          </w:tcPr>
          <w:p>
            <w:r>
              <w:rPr>
                <w:rFonts w:ascii="Calibri" w:cs="Calibri" w:eastAsia="Calibri" w:hAnsi="Calibri"/>
                <w:b w:val="false"/>
                <w:bCs w:val="false"/>
                <w:color w:val="000000"/>
                <w:sz w:val="20"/>
                <w:szCs w:val="20"/>
              </w:rPr>
              <w:t xml:space="preserve">Tidak</w:t>
            </w:r>
          </w:p>
        </w:tc>
      </w:tr>
      <w:tr>
        <w:tc>
          <w:tcPr>
            <w:tcW w:type="dxa" w:w="1800"/>
            <w:tcMar>
              <w:top w:type="dxa" w:w="60"/>
              <w:left w:type="dxa" w:w="100"/>
              <w:bottom w:type="dxa" w:w="60"/>
              <w:right w:type="dxa" w:w="100"/>
            </w:tcMar>
          </w:tcPr>
          <w:p>
            <w:r>
              <w:rPr>
                <w:rFonts w:ascii="Calibri" w:cs="Calibri" w:eastAsia="Calibri" w:hAnsi="Calibri"/>
                <w:b w:val="false"/>
                <w:bCs w:val="false"/>
                <w:color w:val="000000"/>
                <w:sz w:val="20"/>
                <w:szCs w:val="20"/>
              </w:rPr>
              <w:t xml:space="preserve">PC11</w:t>
            </w:r>
          </w:p>
        </w:tc>
        <w:tc>
          <w:tcPr>
            <w:tcW w:type="dxa" w:w="1800"/>
            <w:tcMar>
              <w:top w:type="dxa" w:w="60"/>
              <w:left w:type="dxa" w:w="100"/>
              <w:bottom w:type="dxa" w:w="60"/>
              <w:right w:type="dxa" w:w="100"/>
            </w:tcMar>
          </w:tcPr>
          <w:p>
            <w:r>
              <w:rPr>
                <w:rFonts w:ascii="Calibri" w:cs="Calibri" w:eastAsia="Calibri" w:hAnsi="Calibri"/>
                <w:b w:val="false"/>
                <w:bCs w:val="false"/>
                <w:color w:val="000000"/>
                <w:sz w:val="20"/>
                <w:szCs w:val="20"/>
              </w:rPr>
              <w:t xml:space="preserve">0.082</w:t>
            </w:r>
          </w:p>
        </w:tc>
        <w:tc>
          <w:tcPr>
            <w:tcW w:type="dxa" w:w="2200"/>
            <w:tcMar>
              <w:top w:type="dxa" w:w="60"/>
              <w:left w:type="dxa" w:w="100"/>
              <w:bottom w:type="dxa" w:w="60"/>
              <w:right w:type="dxa" w:w="100"/>
            </w:tcMar>
          </w:tcPr>
          <w:p>
            <w:r>
              <w:rPr>
                <w:rFonts w:ascii="Calibri" w:cs="Calibri" w:eastAsia="Calibri" w:hAnsi="Calibri"/>
                <w:b w:val="false"/>
                <w:bCs w:val="false"/>
                <w:color w:val="000000"/>
                <w:sz w:val="20"/>
                <w:szCs w:val="20"/>
              </w:rPr>
              <w:t xml:space="preserve">0.58</w:t>
            </w:r>
          </w:p>
        </w:tc>
        <w:tc>
          <w:tcPr>
            <w:tcW w:type="dxa" w:w="2000"/>
            <w:tcMar>
              <w:top w:type="dxa" w:w="60"/>
              <w:left w:type="dxa" w:w="100"/>
              <w:bottom w:type="dxa" w:w="60"/>
              <w:right w:type="dxa" w:w="100"/>
            </w:tcMar>
          </w:tcPr>
          <w:p>
            <w:r>
              <w:rPr>
                <w:rFonts w:ascii="Calibri" w:cs="Calibri" w:eastAsia="Calibri" w:hAnsi="Calibri"/>
                <w:b w:val="false"/>
                <w:bCs w:val="false"/>
                <w:color w:val="000000"/>
                <w:sz w:val="20"/>
                <w:szCs w:val="20"/>
              </w:rPr>
              <w:t xml:space="preserve">99.40</w:t>
            </w:r>
          </w:p>
        </w:tc>
        <w:tc>
          <w:tcPr>
            <w:tcW w:type="dxa" w:w="1800"/>
            <w:tcMar>
              <w:top w:type="dxa" w:w="60"/>
              <w:left w:type="dxa" w:w="100"/>
              <w:bottom w:type="dxa" w:w="60"/>
              <w:right w:type="dxa" w:w="100"/>
            </w:tcMar>
          </w:tcPr>
          <w:p>
            <w:r>
              <w:rPr>
                <w:rFonts w:ascii="Calibri" w:cs="Calibri" w:eastAsia="Calibri" w:hAnsi="Calibri"/>
                <w:b w:val="false"/>
                <w:bCs w:val="false"/>
                <w:color w:val="000000"/>
                <w:sz w:val="20"/>
                <w:szCs w:val="20"/>
              </w:rPr>
              <w:t xml:space="preserve">Tidak</w:t>
            </w:r>
          </w:p>
        </w:tc>
      </w:tr>
      <w:tr>
        <w:tc>
          <w:tcPr>
            <w:tcW w:type="dxa" w:w="1800"/>
            <w:tcMar>
              <w:top w:type="dxa" w:w="60"/>
              <w:left w:type="dxa" w:w="100"/>
              <w:bottom w:type="dxa" w:w="60"/>
              <w:right w:type="dxa" w:w="100"/>
            </w:tcMar>
          </w:tcPr>
          <w:p>
            <w:r>
              <w:rPr>
                <w:rFonts w:ascii="Calibri" w:cs="Calibri" w:eastAsia="Calibri" w:hAnsi="Calibri"/>
                <w:b w:val="false"/>
                <w:bCs w:val="false"/>
                <w:color w:val="000000"/>
                <w:sz w:val="20"/>
                <w:szCs w:val="20"/>
              </w:rPr>
              <w:t xml:space="preserve">PC12</w:t>
            </w:r>
          </w:p>
        </w:tc>
        <w:tc>
          <w:tcPr>
            <w:tcW w:type="dxa" w:w="1800"/>
            <w:tcMar>
              <w:top w:type="dxa" w:w="60"/>
              <w:left w:type="dxa" w:w="100"/>
              <w:bottom w:type="dxa" w:w="60"/>
              <w:right w:type="dxa" w:w="100"/>
            </w:tcMar>
          </w:tcPr>
          <w:p>
            <w:r>
              <w:rPr>
                <w:rFonts w:ascii="Calibri" w:cs="Calibri" w:eastAsia="Calibri" w:hAnsi="Calibri"/>
                <w:b w:val="false"/>
                <w:bCs w:val="false"/>
                <w:color w:val="000000"/>
                <w:sz w:val="20"/>
                <w:szCs w:val="20"/>
              </w:rPr>
              <w:t xml:space="preserve">0.073</w:t>
            </w:r>
          </w:p>
        </w:tc>
        <w:tc>
          <w:tcPr>
            <w:tcW w:type="dxa" w:w="2200"/>
            <w:tcMar>
              <w:top w:type="dxa" w:w="60"/>
              <w:left w:type="dxa" w:w="100"/>
              <w:bottom w:type="dxa" w:w="60"/>
              <w:right w:type="dxa" w:w="100"/>
            </w:tcMar>
          </w:tcPr>
          <w:p>
            <w:r>
              <w:rPr>
                <w:rFonts w:ascii="Calibri" w:cs="Calibri" w:eastAsia="Calibri" w:hAnsi="Calibri"/>
                <w:b w:val="false"/>
                <w:bCs w:val="false"/>
                <w:color w:val="000000"/>
                <w:sz w:val="20"/>
                <w:szCs w:val="20"/>
              </w:rPr>
              <w:t xml:space="preserve">0.52</w:t>
            </w:r>
          </w:p>
        </w:tc>
        <w:tc>
          <w:tcPr>
            <w:tcW w:type="dxa" w:w="2000"/>
            <w:tcMar>
              <w:top w:type="dxa" w:w="60"/>
              <w:left w:type="dxa" w:w="100"/>
              <w:bottom w:type="dxa" w:w="60"/>
              <w:right w:type="dxa" w:w="100"/>
            </w:tcMar>
          </w:tcPr>
          <w:p>
            <w:r>
              <w:rPr>
                <w:rFonts w:ascii="Calibri" w:cs="Calibri" w:eastAsia="Calibri" w:hAnsi="Calibri"/>
                <w:b w:val="false"/>
                <w:bCs w:val="false"/>
                <w:color w:val="000000"/>
                <w:sz w:val="20"/>
                <w:szCs w:val="20"/>
              </w:rPr>
              <w:t xml:space="preserve">99.92</w:t>
            </w:r>
          </w:p>
        </w:tc>
        <w:tc>
          <w:tcPr>
            <w:tcW w:type="dxa" w:w="1800"/>
            <w:tcMar>
              <w:top w:type="dxa" w:w="60"/>
              <w:left w:type="dxa" w:w="100"/>
              <w:bottom w:type="dxa" w:w="60"/>
              <w:right w:type="dxa" w:w="100"/>
            </w:tcMar>
          </w:tcPr>
          <w:p>
            <w:r>
              <w:rPr>
                <w:rFonts w:ascii="Calibri" w:cs="Calibri" w:eastAsia="Calibri" w:hAnsi="Calibri"/>
                <w:b w:val="false"/>
                <w:bCs w:val="false"/>
                <w:color w:val="000000"/>
                <w:sz w:val="20"/>
                <w:szCs w:val="20"/>
              </w:rPr>
              <w:t xml:space="preserve">Tidak</w:t>
            </w:r>
          </w:p>
        </w:tc>
      </w:tr>
      <w:tr>
        <w:tc>
          <w:tcPr>
            <w:tcW w:type="dxa" w:w="1800"/>
            <w:tcMar>
              <w:top w:type="dxa" w:w="60"/>
              <w:left w:type="dxa" w:w="100"/>
              <w:bottom w:type="dxa" w:w="60"/>
              <w:right w:type="dxa" w:w="100"/>
            </w:tcMar>
          </w:tcPr>
          <w:p>
            <w:r>
              <w:rPr>
                <w:rFonts w:ascii="Calibri" w:cs="Calibri" w:eastAsia="Calibri" w:hAnsi="Calibri"/>
                <w:b w:val="false"/>
                <w:bCs w:val="false"/>
                <w:color w:val="000000"/>
                <w:sz w:val="20"/>
                <w:szCs w:val="20"/>
              </w:rPr>
              <w:t xml:space="preserve">PC13</w:t>
            </w:r>
          </w:p>
        </w:tc>
        <w:tc>
          <w:tcPr>
            <w:tcW w:type="dxa" w:w="1800"/>
            <w:tcMar>
              <w:top w:type="dxa" w:w="60"/>
              <w:left w:type="dxa" w:w="100"/>
              <w:bottom w:type="dxa" w:w="60"/>
              <w:right w:type="dxa" w:w="100"/>
            </w:tcMar>
          </w:tcPr>
          <w:p>
            <w:r>
              <w:rPr>
                <w:rFonts w:ascii="Calibri" w:cs="Calibri" w:eastAsia="Calibri" w:hAnsi="Calibri"/>
                <w:b w:val="false"/>
                <w:bCs w:val="false"/>
                <w:color w:val="000000"/>
                <w:sz w:val="20"/>
                <w:szCs w:val="20"/>
              </w:rPr>
              <w:t xml:space="preserve">0.011</w:t>
            </w:r>
          </w:p>
        </w:tc>
        <w:tc>
          <w:tcPr>
            <w:tcW w:type="dxa" w:w="2200"/>
            <w:tcMar>
              <w:top w:type="dxa" w:w="60"/>
              <w:left w:type="dxa" w:w="100"/>
              <w:bottom w:type="dxa" w:w="60"/>
              <w:right w:type="dxa" w:w="100"/>
            </w:tcMar>
          </w:tcPr>
          <w:p>
            <w:r>
              <w:rPr>
                <w:rFonts w:ascii="Calibri" w:cs="Calibri" w:eastAsia="Calibri" w:hAnsi="Calibri"/>
                <w:b w:val="false"/>
                <w:bCs w:val="false"/>
                <w:color w:val="000000"/>
                <w:sz w:val="20"/>
                <w:szCs w:val="20"/>
              </w:rPr>
              <w:t xml:space="preserve">0.08</w:t>
            </w:r>
          </w:p>
        </w:tc>
        <w:tc>
          <w:tcPr>
            <w:tcW w:type="dxa" w:w="2000"/>
            <w:tcMar>
              <w:top w:type="dxa" w:w="60"/>
              <w:left w:type="dxa" w:w="100"/>
              <w:bottom w:type="dxa" w:w="60"/>
              <w:right w:type="dxa" w:w="100"/>
            </w:tcMar>
          </w:tcPr>
          <w:p>
            <w:r>
              <w:rPr>
                <w:rFonts w:ascii="Calibri" w:cs="Calibri" w:eastAsia="Calibri" w:hAnsi="Calibri"/>
                <w:b w:val="false"/>
                <w:bCs w:val="false"/>
                <w:color w:val="000000"/>
                <w:sz w:val="20"/>
                <w:szCs w:val="20"/>
              </w:rPr>
              <w:t xml:space="preserve">100.00</w:t>
            </w:r>
          </w:p>
        </w:tc>
        <w:tc>
          <w:tcPr>
            <w:tcW w:type="dxa" w:w="1800"/>
            <w:tcMar>
              <w:top w:type="dxa" w:w="60"/>
              <w:left w:type="dxa" w:w="100"/>
              <w:bottom w:type="dxa" w:w="60"/>
              <w:right w:type="dxa" w:w="100"/>
            </w:tcMar>
          </w:tcPr>
          <w:p>
            <w:r>
              <w:rPr>
                <w:rFonts w:ascii="Calibri" w:cs="Calibri" w:eastAsia="Calibri" w:hAnsi="Calibri"/>
                <w:b w:val="false"/>
                <w:bCs w:val="false"/>
                <w:color w:val="000000"/>
                <w:sz w:val="20"/>
                <w:szCs w:val="20"/>
              </w:rPr>
              <w:t xml:space="preserve">Tidak</w:t>
            </w:r>
          </w:p>
        </w:tc>
      </w:tr>
      <w:tr>
        <w:tc>
          <w:tcPr>
            <w:tcW w:type="dxa" w:w="1800"/>
            <w:tcMar>
              <w:top w:type="dxa" w:w="60"/>
              <w:left w:type="dxa" w:w="100"/>
              <w:bottom w:type="dxa" w:w="60"/>
              <w:right w:type="dxa" w:w="100"/>
            </w:tcMar>
          </w:tcPr>
          <w:p>
            <w:r>
              <w:rPr>
                <w:rFonts w:ascii="Calibri" w:cs="Calibri" w:eastAsia="Calibri" w:hAnsi="Calibri"/>
                <w:b w:val="false"/>
                <w:bCs w:val="false"/>
                <w:color w:val="000000"/>
                <w:sz w:val="20"/>
                <w:szCs w:val="20"/>
              </w:rPr>
              <w:t xml:space="preserve">PC14</w:t>
            </w:r>
          </w:p>
        </w:tc>
        <w:tc>
          <w:tcPr>
            <w:tcW w:type="dxa" w:w="1800"/>
            <w:tcMar>
              <w:top w:type="dxa" w:w="60"/>
              <w:left w:type="dxa" w:w="100"/>
              <w:bottom w:type="dxa" w:w="60"/>
              <w:right w:type="dxa" w:w="100"/>
            </w:tcMar>
          </w:tcPr>
          <w:p>
            <w:r>
              <w:rPr>
                <w:rFonts w:ascii="Calibri" w:cs="Calibri" w:eastAsia="Calibri" w:hAnsi="Calibri"/>
                <w:b w:val="false"/>
                <w:bCs w:val="false"/>
                <w:color w:val="000000"/>
                <w:sz w:val="20"/>
                <w:szCs w:val="20"/>
              </w:rPr>
              <w:t xml:space="preserve">0.000</w:t>
            </w:r>
          </w:p>
        </w:tc>
        <w:tc>
          <w:tcPr>
            <w:tcW w:type="dxa" w:w="2200"/>
            <w:tcMar>
              <w:top w:type="dxa" w:w="60"/>
              <w:left w:type="dxa" w:w="100"/>
              <w:bottom w:type="dxa" w:w="60"/>
              <w:right w:type="dxa" w:w="100"/>
            </w:tcMar>
          </w:tcPr>
          <w:p>
            <w:r>
              <w:rPr>
                <w:rFonts w:ascii="Calibri" w:cs="Calibri" w:eastAsia="Calibri" w:hAnsi="Calibri"/>
                <w:b w:val="false"/>
                <w:bCs w:val="false"/>
                <w:color w:val="000000"/>
                <w:sz w:val="20"/>
                <w:szCs w:val="20"/>
              </w:rPr>
              <w:t xml:space="preserve">0.00</w:t>
            </w:r>
          </w:p>
        </w:tc>
        <w:tc>
          <w:tcPr>
            <w:tcW w:type="dxa" w:w="2000"/>
            <w:tcMar>
              <w:top w:type="dxa" w:w="60"/>
              <w:left w:type="dxa" w:w="100"/>
              <w:bottom w:type="dxa" w:w="60"/>
              <w:right w:type="dxa" w:w="100"/>
            </w:tcMar>
          </w:tcPr>
          <w:p>
            <w:r>
              <w:rPr>
                <w:rFonts w:ascii="Calibri" w:cs="Calibri" w:eastAsia="Calibri" w:hAnsi="Calibri"/>
                <w:b w:val="false"/>
                <w:bCs w:val="false"/>
                <w:color w:val="000000"/>
                <w:sz w:val="20"/>
                <w:szCs w:val="20"/>
              </w:rPr>
              <w:t xml:space="preserve">100.00</w:t>
            </w:r>
          </w:p>
        </w:tc>
        <w:tc>
          <w:tcPr>
            <w:tcW w:type="dxa" w:w="1800"/>
            <w:tcMar>
              <w:top w:type="dxa" w:w="60"/>
              <w:left w:type="dxa" w:w="100"/>
              <w:bottom w:type="dxa" w:w="60"/>
              <w:right w:type="dxa" w:w="100"/>
            </w:tcMar>
          </w:tcPr>
          <w:p>
            <w:r>
              <w:rPr>
                <w:rFonts w:ascii="Calibri" w:cs="Calibri" w:eastAsia="Calibri" w:hAnsi="Calibri"/>
                <w:b w:val="false"/>
                <w:bCs w:val="false"/>
                <w:color w:val="000000"/>
                <w:sz w:val="20"/>
                <w:szCs w:val="20"/>
              </w:rPr>
              <w:t xml:space="preserve">Tidak</w:t>
            </w:r>
          </w:p>
        </w:tc>
      </w:tr>
    </w:tbl>
    <w:p>
      <w:pPr>
        <w:spacing w:after="160" w:line="300"/>
        <w:jc w:val="both"/>
      </w:pPr>
      <w:r>
        <w:rPr>
          <w:rFonts w:ascii="Calibri" w:cs="Calibri" w:eastAsia="Calibri" w:hAnsi="Calibri"/>
          <w:sz w:val="22"/>
          <w:szCs w:val="22"/>
        </w:rPr>
        <w:t xml:space="preserve"/>
      </w:r>
    </w:p>
    <w:p>
      <w:pPr>
        <w:pStyle w:val="Heading2"/>
        <w:spacing w:after="120" w:before="240"/>
      </w:pPr>
      <w:r>
        <w:rPr>
          <w:rFonts w:ascii="Calibri" w:cs="Calibri" w:eastAsia="Calibri" w:hAnsi="Calibri"/>
          <w:b/>
          <w:bCs/>
        </w:rPr>
        <w:t xml:space="preserve">3.2 Perhitungan SPE dan Hotelling's T²</w:t>
      </w:r>
    </w:p>
    <w:p>
      <w:pPr>
        <w:spacing w:after="160" w:line="300"/>
        <w:jc w:val="both"/>
      </w:pPr>
      <w:r>
        <w:rPr>
          <w:rFonts w:ascii="Calibri" w:cs="Calibri" w:eastAsia="Calibri" w:hAnsi="Calibri"/>
          <w:sz w:val="22"/>
          <w:szCs w:val="22"/>
        </w:rPr>
        <w:t xml:space="preserve">SPE mengukur reconstruction error (jumlah kuadrat residual di luar ruang k komponen utama), sedangkan T² mengukur jarak Mahalanobis-terbobot di dalam ruang k komponen utama yang dipertahankan. Kedua statistik dihitung untuk seluruh 1.714 observasi menggunakan scaler dan PCA yang telah di-fit dari data normal.</w:t>
      </w:r>
    </w:p>
    <w:p>
      <w:pPr>
        <w:pStyle w:val="Heading2"/>
        <w:spacing w:after="120" w:before="240"/>
      </w:pPr>
      <w:r>
        <w:rPr>
          <w:rFonts w:ascii="Calibri" w:cs="Calibri" w:eastAsia="Calibri" w:hAnsi="Calibri"/>
          <w:b/>
          <w:bCs/>
        </w:rPr>
        <w:t xml:space="preserve">3.3 Upper Control Limit (UCL)</w:t>
      </w:r>
    </w:p>
    <w:p>
      <w:pPr>
        <w:spacing w:after="160" w:line="300"/>
        <w:jc w:val="both"/>
      </w:pPr>
      <w:r>
        <w:rPr>
          <w:rFonts w:ascii="Calibri" w:cs="Calibri" w:eastAsia="Calibri" w:hAnsi="Calibri"/>
          <w:sz w:val="22"/>
          <w:szCs w:val="22"/>
        </w:rPr>
        <w:t xml:space="preserve">UCL SPE dihitung dengan pendekatan chi-square (Jackson &amp; Mudholkar, 1979) menggunakan eigenvalue komponen yang dibuang dari data normal. UCL T² dihitung dengan distribusi F menggunakan n = jumlah data normal yang dipakai melatih PCA. Tingkat signifikansi α = 0.05 (UCL pada persentil ke-95). Observasi dengan SPE atau T² di atas UCL masing-masing dikategorikan sebagai anomali.</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4000"/>
        <w:gridCol w:w="4000"/>
      </w:tblGrid>
      <w:tr>
        <w:trPr>
          <w:tblHeader/>
        </w:trPr>
        <w:tc>
          <w:tcPr>
            <w:tcW w:type="dxa" w:w="4000"/>
            <w:shd w:fill="C44E52" w:color="auto" w:val="clear"/>
            <w:tcMar>
              <w:top w:type="dxa" w:w="60"/>
              <w:left w:type="dxa" w:w="100"/>
              <w:bottom w:type="dxa" w:w="60"/>
              <w:right w:type="dxa" w:w="100"/>
            </w:tcMar>
          </w:tcPr>
          <w:p>
            <w:r>
              <w:rPr>
                <w:rFonts w:ascii="Calibri" w:cs="Calibri" w:eastAsia="Calibri" w:hAnsi="Calibri"/>
                <w:b/>
                <w:bCs/>
                <w:color w:val="FFFFFF"/>
                <w:sz w:val="20"/>
                <w:szCs w:val="20"/>
              </w:rPr>
              <w:t xml:space="preserve">Statistik</w:t>
            </w:r>
          </w:p>
        </w:tc>
        <w:tc>
          <w:tcPr>
            <w:tcW w:type="dxa" w:w="4000"/>
            <w:shd w:fill="C44E52" w:color="auto" w:val="clear"/>
            <w:tcMar>
              <w:top w:type="dxa" w:w="60"/>
              <w:left w:type="dxa" w:w="100"/>
              <w:bottom w:type="dxa" w:w="60"/>
              <w:right w:type="dxa" w:w="100"/>
            </w:tcMar>
          </w:tcPr>
          <w:p>
            <w:r>
              <w:rPr>
                <w:rFonts w:ascii="Calibri" w:cs="Calibri" w:eastAsia="Calibri" w:hAnsi="Calibri"/>
                <w:b/>
                <w:bCs/>
                <w:color w:val="FFFFFF"/>
                <w:sz w:val="20"/>
                <w:szCs w:val="20"/>
              </w:rPr>
              <w:t xml:space="preserve">Nilai UCL (α = 0.05)</w:t>
            </w:r>
          </w:p>
        </w:tc>
      </w:tr>
      <w:tr>
        <w:tc>
          <w:tcPr>
            <w:tcW w:type="dxa" w:w="4000"/>
            <w:tcMar>
              <w:top w:type="dxa" w:w="60"/>
              <w:left w:type="dxa" w:w="100"/>
              <w:bottom w:type="dxa" w:w="60"/>
              <w:right w:type="dxa" w:w="100"/>
            </w:tcMar>
          </w:tcPr>
          <w:p>
            <w:r>
              <w:rPr>
                <w:rFonts w:ascii="Calibri" w:cs="Calibri" w:eastAsia="Calibri" w:hAnsi="Calibri"/>
                <w:b w:val="false"/>
                <w:bCs w:val="false"/>
                <w:color w:val="000000"/>
                <w:sz w:val="20"/>
                <w:szCs w:val="20"/>
              </w:rPr>
              <w:t xml:space="preserve">SPE (Q-statistic)</w:t>
            </w:r>
          </w:p>
        </w:tc>
        <w:tc>
          <w:tcPr>
            <w:tcW w:type="dxa" w:w="4000"/>
            <w:tcMar>
              <w:top w:type="dxa" w:w="60"/>
              <w:left w:type="dxa" w:w="100"/>
              <w:bottom w:type="dxa" w:w="60"/>
              <w:right w:type="dxa" w:w="100"/>
            </w:tcMar>
          </w:tcPr>
          <w:p>
            <w:r>
              <w:rPr>
                <w:rFonts w:ascii="Calibri" w:cs="Calibri" w:eastAsia="Calibri" w:hAnsi="Calibri"/>
                <w:b w:val="false"/>
                <w:bCs w:val="false"/>
                <w:color w:val="000000"/>
                <w:sz w:val="20"/>
                <w:szCs w:val="20"/>
              </w:rPr>
              <w:t xml:space="preserve">2.0618</w:t>
            </w:r>
          </w:p>
        </w:tc>
      </w:tr>
      <w:tr>
        <w:tc>
          <w:tcPr>
            <w:tcW w:type="dxa" w:w="4000"/>
            <w:tcMar>
              <w:top w:type="dxa" w:w="60"/>
              <w:left w:type="dxa" w:w="100"/>
              <w:bottom w:type="dxa" w:w="60"/>
              <w:right w:type="dxa" w:w="100"/>
            </w:tcMar>
          </w:tcPr>
          <w:p>
            <w:r>
              <w:rPr>
                <w:rFonts w:ascii="Calibri" w:cs="Calibri" w:eastAsia="Calibri" w:hAnsi="Calibri"/>
                <w:b w:val="false"/>
                <w:bCs w:val="false"/>
                <w:color w:val="000000"/>
                <w:sz w:val="20"/>
                <w:szCs w:val="20"/>
              </w:rPr>
              <w:t xml:space="preserve">Hotelling's T²</w:t>
            </w:r>
          </w:p>
        </w:tc>
        <w:tc>
          <w:tcPr>
            <w:tcW w:type="dxa" w:w="4000"/>
            <w:tcMar>
              <w:top w:type="dxa" w:w="60"/>
              <w:left w:type="dxa" w:w="100"/>
              <w:bottom w:type="dxa" w:w="60"/>
              <w:right w:type="dxa" w:w="100"/>
            </w:tcMar>
          </w:tcPr>
          <w:p>
            <w:r>
              <w:rPr>
                <w:rFonts w:ascii="Calibri" w:cs="Calibri" w:eastAsia="Calibri" w:hAnsi="Calibri"/>
                <w:b w:val="false"/>
                <w:bCs w:val="false"/>
                <w:color w:val="000000"/>
                <w:sz w:val="20"/>
                <w:szCs w:val="20"/>
              </w:rPr>
              <w:t xml:space="preserve">17.0911</w:t>
            </w:r>
          </w:p>
        </w:tc>
      </w:tr>
    </w:tbl>
    <w:p>
      <w:pPr>
        <w:pStyle w:val="Heading1"/>
        <w:spacing w:after="160" w:before="320"/>
      </w:pPr>
      <w:r>
        <w:rPr>
          <w:rFonts w:ascii="Calibri" w:cs="Calibri" w:eastAsia="Calibri" w:hAnsi="Calibri"/>
          <w:b/>
          <w:bCs/>
          <w:color w:val="8B2E33"/>
        </w:rPr>
        <w:t xml:space="preserve">4. Hasil</w:t>
      </w:r>
    </w:p>
    <w:p>
      <w:pPr>
        <w:pStyle w:val="Heading2"/>
        <w:spacing w:after="120" w:before="240"/>
      </w:pPr>
      <w:r>
        <w:rPr>
          <w:rFonts w:ascii="Calibri" w:cs="Calibri" w:eastAsia="Calibri" w:hAnsi="Calibri"/>
          <w:b/>
          <w:bCs/>
        </w:rPr>
        <w:t xml:space="preserve">4.1 Control Chart</w:t>
      </w:r>
    </w:p>
    <w:p>
      <w:pPr>
        <w:spacing w:after="160" w:line="300"/>
        <w:jc w:val="both"/>
      </w:pPr>
      <w:r>
        <w:rPr>
          <w:rFonts w:ascii="Calibri" w:cs="Calibri" w:eastAsia="Calibri" w:hAnsi="Calibri"/>
          <w:sz w:val="22"/>
          <w:szCs w:val="22"/>
        </w:rPr>
        <w:t xml:space="preserve">Control chart berikut memplot SPE dan T² untuk seluruh observasi (diurutkan sesuai indeks panel data negara × tahun), diwarnai berdasarkan crisis_label, dengan garis UCL sebagai ambang batas anomali.</w:t>
      </w:r>
    </w:p>
    <w:p>
      <w:pPr>
        <w:spacing w:after="60" w:before="120"/>
        <w:jc w:val="center"/>
      </w:pPr>
      <w:r>
        <w:drawing>
          <wp:inline distT="0" distB="0" distL="0" distR="0">
            <wp:extent cx="590550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743325"/>
                    </a:xfrm>
                    <a:prstGeom prst="rect">
                      <a:avLst/>
                    </a:prstGeom>
                  </pic:spPr>
                </pic:pic>
              </a:graphicData>
            </a:graphic>
          </wp:inline>
        </w:drawing>
      </w:r>
    </w:p>
    <w:p>
      <w:pPr>
        <w:spacing w:after="240"/>
        <w:jc w:val="center"/>
      </w:pPr>
      <w:r>
        <w:rPr>
          <w:rFonts w:ascii="Calibri" w:cs="Calibri" w:eastAsia="Calibri" w:hAnsi="Calibri"/>
          <w:i/>
          <w:iCs/>
          <w:color w:val="555555"/>
          <w:sz w:val="20"/>
          <w:szCs w:val="20"/>
        </w:rPr>
        <w:t xml:space="preserve">Gambar 2. Control chart SPE dan Hotelling's T² terhadap UCL.</w:t>
      </w:r>
    </w:p>
    <w:p>
      <w:pPr>
        <w:pStyle w:val="Heading2"/>
        <w:spacing w:after="120" w:before="240"/>
      </w:pPr>
      <w:r>
        <w:rPr>
          <w:rFonts w:ascii="Calibri" w:cs="Calibri" w:eastAsia="Calibri" w:hAnsi="Calibri"/>
          <w:b/>
          <w:bCs/>
        </w:rPr>
        <w:t xml:space="preserve">4.2 Metrik Evaluasi terhadap crisis_label</w:t>
      </w:r>
    </w:p>
    <w:p>
      <w:pPr>
        <w:spacing w:after="160" w:line="300"/>
        <w:jc w:val="both"/>
      </w:pPr>
      <w:r>
        <w:rPr>
          <w:rFonts w:ascii="Calibri" w:cs="Calibri" w:eastAsia="Calibri" w:hAnsi="Calibri"/>
          <w:sz w:val="22"/>
          <w:szCs w:val="22"/>
        </w:rPr>
        <w:t xml:space="preserve">Berikut metrik evaluasi yang dihitung pada seluruh 1.714 observasi (normal + krisis), konsisten dengan cara LOF dievaluasi di laporan kelompok.</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2800"/>
      </w:tblGrid>
      <w:tr>
        <w:trPr>
          <w:tblHeader/>
        </w:trPr>
        <w:tc>
          <w:tcPr>
            <w:tcW w:type="dxa" w:w="3000"/>
            <w:shd w:fill="C44E52" w:color="auto" w:val="clear"/>
            <w:tcMar>
              <w:top w:type="dxa" w:w="60"/>
              <w:left w:type="dxa" w:w="100"/>
              <w:bottom w:type="dxa" w:w="60"/>
              <w:right w:type="dxa" w:w="100"/>
            </w:tcMar>
          </w:tcPr>
          <w:p>
            <w:r>
              <w:rPr>
                <w:rFonts w:ascii="Calibri" w:cs="Calibri" w:eastAsia="Calibri" w:hAnsi="Calibri"/>
                <w:b/>
                <w:bCs/>
                <w:color w:val="FFFFFF"/>
                <w:sz w:val="20"/>
                <w:szCs w:val="20"/>
              </w:rPr>
              <w:t xml:space="preserve">Skor</w:t>
            </w:r>
          </w:p>
        </w:tc>
        <w:tc>
          <w:tcPr>
            <w:tcW w:type="dxa" w:w="2800"/>
            <w:shd w:fill="C44E52" w:color="auto" w:val="clear"/>
            <w:tcMar>
              <w:top w:type="dxa" w:w="60"/>
              <w:left w:type="dxa" w:w="100"/>
              <w:bottom w:type="dxa" w:w="60"/>
              <w:right w:type="dxa" w:w="100"/>
            </w:tcMar>
          </w:tcPr>
          <w:p>
            <w:r>
              <w:rPr>
                <w:rFonts w:ascii="Calibri" w:cs="Calibri" w:eastAsia="Calibri" w:hAnsi="Calibri"/>
                <w:b/>
                <w:bCs/>
                <w:color w:val="FFFFFF"/>
                <w:sz w:val="20"/>
                <w:szCs w:val="20"/>
              </w:rPr>
              <w:t xml:space="preserve">AUC-ROC</w:t>
            </w:r>
          </w:p>
        </w:tc>
        <w:tc>
          <w:tcPr>
            <w:tcW w:type="dxa" w:w="2800"/>
            <w:shd w:fill="C44E52" w:color="auto" w:val="clear"/>
            <w:tcMar>
              <w:top w:type="dxa" w:w="60"/>
              <w:left w:type="dxa" w:w="100"/>
              <w:bottom w:type="dxa" w:w="60"/>
              <w:right w:type="dxa" w:w="100"/>
            </w:tcMar>
          </w:tcPr>
          <w:p>
            <w:r>
              <w:rPr>
                <w:rFonts w:ascii="Calibri" w:cs="Calibri" w:eastAsia="Calibri" w:hAnsi="Calibri"/>
                <w:b/>
                <w:bCs/>
                <w:color w:val="FFFFFF"/>
                <w:sz w:val="20"/>
                <w:szCs w:val="20"/>
              </w:rPr>
              <w:t xml:space="preserve">Average Precision</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20"/>
                <w:szCs w:val="20"/>
              </w:rPr>
              <w:t xml:space="preserve">SPE</w:t>
            </w:r>
          </w:p>
        </w:tc>
        <w:tc>
          <w:tcPr>
            <w:tcW w:type="dxa" w:w="2800"/>
            <w:tcMar>
              <w:top w:type="dxa" w:w="60"/>
              <w:left w:type="dxa" w:w="100"/>
              <w:bottom w:type="dxa" w:w="60"/>
              <w:right w:type="dxa" w:w="100"/>
            </w:tcMar>
          </w:tcPr>
          <w:p>
            <w:r>
              <w:rPr>
                <w:rFonts w:ascii="Calibri" w:cs="Calibri" w:eastAsia="Calibri" w:hAnsi="Calibri"/>
                <w:b w:val="false"/>
                <w:bCs w:val="false"/>
                <w:color w:val="000000"/>
                <w:sz w:val="20"/>
                <w:szCs w:val="20"/>
              </w:rPr>
              <w:t xml:space="preserve">0.521</w:t>
            </w:r>
          </w:p>
        </w:tc>
        <w:tc>
          <w:tcPr>
            <w:tcW w:type="dxa" w:w="2800"/>
            <w:tcMar>
              <w:top w:type="dxa" w:w="60"/>
              <w:left w:type="dxa" w:w="100"/>
              <w:bottom w:type="dxa" w:w="60"/>
              <w:right w:type="dxa" w:w="100"/>
            </w:tcMar>
          </w:tcPr>
          <w:p>
            <w:r>
              <w:rPr>
                <w:rFonts w:ascii="Calibri" w:cs="Calibri" w:eastAsia="Calibri" w:hAnsi="Calibri"/>
                <w:b w:val="false"/>
                <w:bCs w:val="false"/>
                <w:color w:val="000000"/>
                <w:sz w:val="20"/>
                <w:szCs w:val="20"/>
              </w:rPr>
              <w:t xml:space="preserve">0.221</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20"/>
                <w:szCs w:val="20"/>
              </w:rPr>
              <w:t xml:space="preserve">T²</w:t>
            </w:r>
          </w:p>
        </w:tc>
        <w:tc>
          <w:tcPr>
            <w:tcW w:type="dxa" w:w="2800"/>
            <w:tcMar>
              <w:top w:type="dxa" w:w="60"/>
              <w:left w:type="dxa" w:w="100"/>
              <w:bottom w:type="dxa" w:w="60"/>
              <w:right w:type="dxa" w:w="100"/>
            </w:tcMar>
          </w:tcPr>
          <w:p>
            <w:r>
              <w:rPr>
                <w:rFonts w:ascii="Calibri" w:cs="Calibri" w:eastAsia="Calibri" w:hAnsi="Calibri"/>
                <w:b w:val="false"/>
                <w:bCs w:val="false"/>
                <w:color w:val="000000"/>
                <w:sz w:val="20"/>
                <w:szCs w:val="20"/>
              </w:rPr>
              <w:t xml:space="preserve">0.675</w:t>
            </w:r>
          </w:p>
        </w:tc>
        <w:tc>
          <w:tcPr>
            <w:tcW w:type="dxa" w:w="2800"/>
            <w:tcMar>
              <w:top w:type="dxa" w:w="60"/>
              <w:left w:type="dxa" w:w="100"/>
              <w:bottom w:type="dxa" w:w="60"/>
              <w:right w:type="dxa" w:w="100"/>
            </w:tcMar>
          </w:tcPr>
          <w:p>
            <w:r>
              <w:rPr>
                <w:rFonts w:ascii="Calibri" w:cs="Calibri" w:eastAsia="Calibri" w:hAnsi="Calibri"/>
                <w:b w:val="false"/>
                <w:bCs w:val="false"/>
                <w:color w:val="000000"/>
                <w:sz w:val="20"/>
                <w:szCs w:val="20"/>
              </w:rPr>
              <w:t xml:space="preserve">0.350</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20"/>
                <w:szCs w:val="20"/>
              </w:rPr>
              <w:t xml:space="preserve">Combined score</w:t>
            </w:r>
          </w:p>
        </w:tc>
        <w:tc>
          <w:tcPr>
            <w:tcW w:type="dxa" w:w="2800"/>
            <w:tcMar>
              <w:top w:type="dxa" w:w="60"/>
              <w:left w:type="dxa" w:w="100"/>
              <w:bottom w:type="dxa" w:w="60"/>
              <w:right w:type="dxa" w:w="100"/>
            </w:tcMar>
          </w:tcPr>
          <w:p>
            <w:r>
              <w:rPr>
                <w:rFonts w:ascii="Calibri" w:cs="Calibri" w:eastAsia="Calibri" w:hAnsi="Calibri"/>
                <w:b w:val="false"/>
                <w:bCs w:val="false"/>
                <w:color w:val="000000"/>
                <w:sz w:val="20"/>
                <w:szCs w:val="20"/>
              </w:rPr>
              <w:t xml:space="preserve">0.665</w:t>
            </w:r>
          </w:p>
        </w:tc>
        <w:tc>
          <w:tcPr>
            <w:tcW w:type="dxa" w:w="2800"/>
            <w:tcMar>
              <w:top w:type="dxa" w:w="60"/>
              <w:left w:type="dxa" w:w="100"/>
              <w:bottom w:type="dxa" w:w="60"/>
              <w:right w:type="dxa" w:w="100"/>
            </w:tcMar>
          </w:tcPr>
          <w:p>
            <w:r>
              <w:rPr>
                <w:rFonts w:ascii="Calibri" w:cs="Calibri" w:eastAsia="Calibri" w:hAnsi="Calibri"/>
                <w:b w:val="false"/>
                <w:bCs w:val="false"/>
                <w:color w:val="000000"/>
                <w:sz w:val="20"/>
                <w:szCs w:val="20"/>
              </w:rPr>
              <w:t xml:space="preserve">0.338</w:t>
            </w:r>
          </w:p>
        </w:tc>
      </w:tr>
    </w:tbl>
    <w:p>
      <w:pPr>
        <w:spacing w:after="160" w:line="300"/>
        <w:jc w:val="both"/>
      </w:pPr>
      <w:r>
        <w:rPr>
          <w:rFonts w:ascii="Calibri" w:cs="Calibri" w:eastAsia="Calibri" w:hAnsi="Calibri"/>
          <w:sz w:val="22"/>
          <w:szCs w:val="2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2200"/>
        <w:gridCol w:w="2200"/>
      </w:tblGrid>
      <w:tr>
        <w:trPr>
          <w:tblHeader/>
        </w:trPr>
        <w:tc>
          <w:tcPr>
            <w:tcW w:type="dxa" w:w="3400"/>
            <w:shd w:fill="C44E52" w:color="auto" w:val="clear"/>
            <w:tcMar>
              <w:top w:type="dxa" w:w="60"/>
              <w:left w:type="dxa" w:w="100"/>
              <w:bottom w:type="dxa" w:w="60"/>
              <w:right w:type="dxa" w:w="100"/>
            </w:tcMar>
          </w:tcPr>
          <w:p>
            <w:r>
              <w:rPr>
                <w:rFonts w:ascii="Calibri" w:cs="Calibri" w:eastAsia="Calibri" w:hAnsi="Calibri"/>
                <w:b/>
                <w:bCs/>
                <w:color w:val="FFFFFF"/>
                <w:sz w:val="20"/>
                <w:szCs w:val="20"/>
              </w:rPr>
              <w:t xml:space="preserve">Kriteria Threshold (berbasis UCL)</w:t>
            </w:r>
          </w:p>
        </w:tc>
        <w:tc>
          <w:tcPr>
            <w:tcW w:type="dxa" w:w="2200"/>
            <w:shd w:fill="C44E52" w:color="auto" w:val="clear"/>
            <w:tcMar>
              <w:top w:type="dxa" w:w="60"/>
              <w:left w:type="dxa" w:w="100"/>
              <w:bottom w:type="dxa" w:w="60"/>
              <w:right w:type="dxa" w:w="100"/>
            </w:tcMar>
          </w:tcPr>
          <w:p>
            <w:r>
              <w:rPr>
                <w:rFonts w:ascii="Calibri" w:cs="Calibri" w:eastAsia="Calibri" w:hAnsi="Calibri"/>
                <w:b/>
                <w:bCs/>
                <w:color w:val="FFFFFF"/>
                <w:sz w:val="20"/>
                <w:szCs w:val="20"/>
              </w:rPr>
              <w:t xml:space="preserve">Precision</w:t>
            </w:r>
          </w:p>
        </w:tc>
        <w:tc>
          <w:tcPr>
            <w:tcW w:type="dxa" w:w="2200"/>
            <w:shd w:fill="C44E52" w:color="auto" w:val="clear"/>
            <w:tcMar>
              <w:top w:type="dxa" w:w="60"/>
              <w:left w:type="dxa" w:w="100"/>
              <w:bottom w:type="dxa" w:w="60"/>
              <w:right w:type="dxa" w:w="100"/>
            </w:tcMar>
          </w:tcPr>
          <w:p>
            <w:r>
              <w:rPr>
                <w:rFonts w:ascii="Calibri" w:cs="Calibri" w:eastAsia="Calibri" w:hAnsi="Calibri"/>
                <w:b/>
                <w:bCs/>
                <w:color w:val="FFFFFF"/>
                <w:sz w:val="20"/>
                <w:szCs w:val="20"/>
              </w:rPr>
              <w:t xml:space="preserve">Recall</w:t>
            </w:r>
          </w:p>
        </w:tc>
        <w:tc>
          <w:tcPr>
            <w:tcW w:type="dxa" w:w="2200"/>
            <w:shd w:fill="C44E52" w:color="auto" w:val="clear"/>
            <w:tcMar>
              <w:top w:type="dxa" w:w="60"/>
              <w:left w:type="dxa" w:w="100"/>
              <w:bottom w:type="dxa" w:w="60"/>
              <w:right w:type="dxa" w:w="100"/>
            </w:tcMar>
          </w:tcPr>
          <w:p>
            <w:r>
              <w:rPr>
                <w:rFonts w:ascii="Calibri" w:cs="Calibri" w:eastAsia="Calibri" w:hAnsi="Calibri"/>
                <w:b/>
                <w:bCs/>
                <w:color w:val="FFFFFF"/>
                <w:sz w:val="20"/>
                <w:szCs w:val="20"/>
              </w:rPr>
              <w:t xml:space="preserve">F1-Score</w:t>
            </w:r>
          </w:p>
        </w:tc>
      </w:tr>
      <w:tr>
        <w:tc>
          <w:tcPr>
            <w:tcW w:type="dxa" w:w="3400"/>
            <w:tcMar>
              <w:top w:type="dxa" w:w="60"/>
              <w:left w:type="dxa" w:w="100"/>
              <w:bottom w:type="dxa" w:w="60"/>
              <w:right w:type="dxa" w:w="100"/>
            </w:tcMar>
          </w:tcPr>
          <w:p>
            <w:r>
              <w:rPr>
                <w:rFonts w:ascii="Calibri" w:cs="Calibri" w:eastAsia="Calibri" w:hAnsi="Calibri"/>
                <w:b w:val="false"/>
                <w:bCs w:val="false"/>
                <w:color w:val="000000"/>
                <w:sz w:val="20"/>
                <w:szCs w:val="20"/>
              </w:rPr>
              <w:t xml:space="preserve">SPE &gt; UCL_SPE</w:t>
            </w:r>
          </w:p>
        </w:tc>
        <w:tc>
          <w:tcPr>
            <w:tcW w:type="dxa" w:w="2200"/>
            <w:tcMar>
              <w:top w:type="dxa" w:w="60"/>
              <w:left w:type="dxa" w:w="100"/>
              <w:bottom w:type="dxa" w:w="60"/>
              <w:right w:type="dxa" w:w="100"/>
            </w:tcMar>
          </w:tcPr>
          <w:p>
            <w:r>
              <w:rPr>
                <w:rFonts w:ascii="Calibri" w:cs="Calibri" w:eastAsia="Calibri" w:hAnsi="Calibri"/>
                <w:b w:val="false"/>
                <w:bCs w:val="false"/>
                <w:color w:val="000000"/>
                <w:sz w:val="20"/>
                <w:szCs w:val="20"/>
              </w:rPr>
              <w:t xml:space="preserve">0.308</w:t>
            </w:r>
          </w:p>
        </w:tc>
        <w:tc>
          <w:tcPr>
            <w:tcW w:type="dxa" w:w="2200"/>
            <w:tcMar>
              <w:top w:type="dxa" w:w="60"/>
              <w:left w:type="dxa" w:w="100"/>
              <w:bottom w:type="dxa" w:w="60"/>
              <w:right w:type="dxa" w:w="100"/>
            </w:tcMar>
          </w:tcPr>
          <w:p>
            <w:r>
              <w:rPr>
                <w:rFonts w:ascii="Calibri" w:cs="Calibri" w:eastAsia="Calibri" w:hAnsi="Calibri"/>
                <w:b w:val="false"/>
                <w:bCs w:val="false"/>
                <w:color w:val="000000"/>
                <w:sz w:val="20"/>
                <w:szCs w:val="20"/>
              </w:rPr>
              <w:t xml:space="preserve">0.100</w:t>
            </w:r>
          </w:p>
        </w:tc>
        <w:tc>
          <w:tcPr>
            <w:tcW w:type="dxa" w:w="2200"/>
            <w:tcMar>
              <w:top w:type="dxa" w:w="60"/>
              <w:left w:type="dxa" w:w="100"/>
              <w:bottom w:type="dxa" w:w="60"/>
              <w:right w:type="dxa" w:w="100"/>
            </w:tcMar>
          </w:tcPr>
          <w:p>
            <w:r>
              <w:rPr>
                <w:rFonts w:ascii="Calibri" w:cs="Calibri" w:eastAsia="Calibri" w:hAnsi="Calibri"/>
                <w:b w:val="false"/>
                <w:bCs w:val="false"/>
                <w:color w:val="000000"/>
                <w:sz w:val="20"/>
                <w:szCs w:val="20"/>
              </w:rPr>
              <w:t xml:space="preserve">0.151</w:t>
            </w:r>
          </w:p>
        </w:tc>
      </w:tr>
      <w:tr>
        <w:tc>
          <w:tcPr>
            <w:tcW w:type="dxa" w:w="3400"/>
            <w:tcMar>
              <w:top w:type="dxa" w:w="60"/>
              <w:left w:type="dxa" w:w="100"/>
              <w:bottom w:type="dxa" w:w="60"/>
              <w:right w:type="dxa" w:w="100"/>
            </w:tcMar>
          </w:tcPr>
          <w:p>
            <w:r>
              <w:rPr>
                <w:rFonts w:ascii="Calibri" w:cs="Calibri" w:eastAsia="Calibri" w:hAnsi="Calibri"/>
                <w:b w:val="false"/>
                <w:bCs w:val="false"/>
                <w:color w:val="000000"/>
                <w:sz w:val="20"/>
                <w:szCs w:val="20"/>
              </w:rPr>
              <w:t xml:space="preserve">T² &gt; UCL_T2</w:t>
            </w:r>
          </w:p>
        </w:tc>
        <w:tc>
          <w:tcPr>
            <w:tcW w:type="dxa" w:w="2200"/>
            <w:tcMar>
              <w:top w:type="dxa" w:w="60"/>
              <w:left w:type="dxa" w:w="100"/>
              <w:bottom w:type="dxa" w:w="60"/>
              <w:right w:type="dxa" w:w="100"/>
            </w:tcMar>
          </w:tcPr>
          <w:p>
            <w:r>
              <w:rPr>
                <w:rFonts w:ascii="Calibri" w:cs="Calibri" w:eastAsia="Calibri" w:hAnsi="Calibri"/>
                <w:b w:val="false"/>
                <w:bCs w:val="false"/>
                <w:color w:val="000000"/>
                <w:sz w:val="20"/>
                <w:szCs w:val="20"/>
              </w:rPr>
              <w:t xml:space="preserve">0.390</w:t>
            </w:r>
          </w:p>
        </w:tc>
        <w:tc>
          <w:tcPr>
            <w:tcW w:type="dxa" w:w="2200"/>
            <w:tcMar>
              <w:top w:type="dxa" w:w="60"/>
              <w:left w:type="dxa" w:w="100"/>
              <w:bottom w:type="dxa" w:w="60"/>
              <w:right w:type="dxa" w:w="100"/>
            </w:tcMar>
          </w:tcPr>
          <w:p>
            <w:r>
              <w:rPr>
                <w:rFonts w:ascii="Calibri" w:cs="Calibri" w:eastAsia="Calibri" w:hAnsi="Calibri"/>
                <w:b w:val="false"/>
                <w:bCs w:val="false"/>
                <w:color w:val="000000"/>
                <w:sz w:val="20"/>
                <w:szCs w:val="20"/>
              </w:rPr>
              <w:t xml:space="preserve">0.313</w:t>
            </w:r>
          </w:p>
        </w:tc>
        <w:tc>
          <w:tcPr>
            <w:tcW w:type="dxa" w:w="2200"/>
            <w:tcMar>
              <w:top w:type="dxa" w:w="60"/>
              <w:left w:type="dxa" w:w="100"/>
              <w:bottom w:type="dxa" w:w="60"/>
              <w:right w:type="dxa" w:w="100"/>
            </w:tcMar>
          </w:tcPr>
          <w:p>
            <w:r>
              <w:rPr>
                <w:rFonts w:ascii="Calibri" w:cs="Calibri" w:eastAsia="Calibri" w:hAnsi="Calibri"/>
                <w:b w:val="false"/>
                <w:bCs w:val="false"/>
                <w:color w:val="000000"/>
                <w:sz w:val="20"/>
                <w:szCs w:val="20"/>
              </w:rPr>
              <w:t xml:space="preserve">0.347</w:t>
            </w:r>
          </w:p>
        </w:tc>
      </w:tr>
      <w:tr>
        <w:tc>
          <w:tcPr>
            <w:tcW w:type="dxa" w:w="3400"/>
            <w:tcMar>
              <w:top w:type="dxa" w:w="60"/>
              <w:left w:type="dxa" w:w="100"/>
              <w:bottom w:type="dxa" w:w="60"/>
              <w:right w:type="dxa" w:w="100"/>
            </w:tcMar>
          </w:tcPr>
          <w:p>
            <w:r>
              <w:rPr>
                <w:rFonts w:ascii="Calibri" w:cs="Calibri" w:eastAsia="Calibri" w:hAnsi="Calibri"/>
                <w:b w:val="false"/>
                <w:bCs w:val="false"/>
                <w:color w:val="000000"/>
                <w:sz w:val="20"/>
                <w:szCs w:val="20"/>
              </w:rPr>
              <w:t xml:space="preserve">Combined (SPE atau T²)</w:t>
            </w:r>
          </w:p>
        </w:tc>
        <w:tc>
          <w:tcPr>
            <w:tcW w:type="dxa" w:w="2200"/>
            <w:tcMar>
              <w:top w:type="dxa" w:w="60"/>
              <w:left w:type="dxa" w:w="100"/>
              <w:bottom w:type="dxa" w:w="60"/>
              <w:right w:type="dxa" w:w="100"/>
            </w:tcMar>
          </w:tcPr>
          <w:p>
            <w:r>
              <w:rPr>
                <w:rFonts w:ascii="Calibri" w:cs="Calibri" w:eastAsia="Calibri" w:hAnsi="Calibri"/>
                <w:b w:val="false"/>
                <w:bCs w:val="false"/>
                <w:color w:val="000000"/>
                <w:sz w:val="20"/>
                <w:szCs w:val="20"/>
              </w:rPr>
              <w:t xml:space="preserve">0.357</w:t>
            </w:r>
          </w:p>
        </w:tc>
        <w:tc>
          <w:tcPr>
            <w:tcW w:type="dxa" w:w="2200"/>
            <w:tcMar>
              <w:top w:type="dxa" w:w="60"/>
              <w:left w:type="dxa" w:w="100"/>
              <w:bottom w:type="dxa" w:w="60"/>
              <w:right w:type="dxa" w:w="100"/>
            </w:tcMar>
          </w:tcPr>
          <w:p>
            <w:r>
              <w:rPr>
                <w:rFonts w:ascii="Calibri" w:cs="Calibri" w:eastAsia="Calibri" w:hAnsi="Calibri"/>
                <w:b w:val="false"/>
                <w:bCs w:val="false"/>
                <w:color w:val="000000"/>
                <w:sz w:val="20"/>
                <w:szCs w:val="20"/>
              </w:rPr>
              <w:t xml:space="preserve">0.365</w:t>
            </w:r>
          </w:p>
        </w:tc>
        <w:tc>
          <w:tcPr>
            <w:tcW w:type="dxa" w:w="2200"/>
            <w:tcMar>
              <w:top w:type="dxa" w:w="60"/>
              <w:left w:type="dxa" w:w="100"/>
              <w:bottom w:type="dxa" w:w="60"/>
              <w:right w:type="dxa" w:w="100"/>
            </w:tcMar>
          </w:tcPr>
          <w:p>
            <w:r>
              <w:rPr>
                <w:rFonts w:ascii="Calibri" w:cs="Calibri" w:eastAsia="Calibri" w:hAnsi="Calibri"/>
                <w:b w:val="false"/>
                <w:bCs w:val="false"/>
                <w:color w:val="000000"/>
                <w:sz w:val="20"/>
                <w:szCs w:val="20"/>
              </w:rPr>
              <w:t xml:space="preserve">0.361</w:t>
            </w:r>
          </w:p>
        </w:tc>
      </w:tr>
    </w:tbl>
    <w:p>
      <w:pPr>
        <w:spacing w:after="160" w:line="300"/>
        <w:jc w:val="both"/>
      </w:pPr>
      <w:r>
        <w:rPr>
          <w:rFonts w:ascii="Calibri" w:cs="Calibri" w:eastAsia="Calibri" w:hAnsi="Calibri"/>
          <w:sz w:val="22"/>
          <w:szCs w:val="22"/>
        </w:rPr>
        <w:t xml:space="preserve"/>
      </w:r>
    </w:p>
    <w:p>
      <w:pPr>
        <w:pStyle w:val="Heading2"/>
        <w:spacing w:after="120" w:before="240"/>
      </w:pPr>
      <w:r>
        <w:rPr>
          <w:rFonts w:ascii="Calibri" w:cs="Calibri" w:eastAsia="Calibri" w:hAnsi="Calibri"/>
          <w:b/>
          <w:bCs/>
        </w:rPr>
        <w:t xml:space="preserve">4.3 Effect Size: Krisis vs Normal</w:t>
      </w:r>
    </w:p>
    <w:p>
      <w:pPr>
        <w:spacing w:after="160" w:line="300"/>
        <w:jc w:val="both"/>
      </w:pPr>
      <w:r>
        <w:rPr>
          <w:rFonts w:ascii="Calibri" w:cs="Calibri" w:eastAsia="Calibri" w:hAnsi="Calibri"/>
          <w:sz w:val="22"/>
          <w:szCs w:val="22"/>
        </w:rPr>
        <w:t xml:space="preserve">Selain metrik klasifikasi, dihitung ukuran effect size untuk melihat seberapa besar perbedaan skor anomali antara periode krisis dan normal: Cohen's d (parametrik) dan Cliff's delta (non-parametrik, lebih robust terhadap distribusi skor yang skewed).</w:t>
      </w:r>
    </w:p>
    <w:p>
      <w:pPr>
        <w:spacing w:after="60" w:before="120"/>
        <w:jc w:val="center"/>
      </w:pPr>
      <w:r>
        <w:drawing>
          <wp:inline distT="0" distB="0" distL="0" distR="0">
            <wp:extent cx="5334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05175"/>
                    </a:xfrm>
                    <a:prstGeom prst="rect">
                      <a:avLst/>
                    </a:prstGeom>
                  </pic:spPr>
                </pic:pic>
              </a:graphicData>
            </a:graphic>
          </wp:inline>
        </w:drawing>
      </w:r>
    </w:p>
    <w:p>
      <w:pPr>
        <w:spacing w:after="240"/>
        <w:jc w:val="center"/>
      </w:pPr>
      <w:r>
        <w:rPr>
          <w:rFonts w:ascii="Calibri" w:cs="Calibri" w:eastAsia="Calibri" w:hAnsi="Calibri"/>
          <w:i/>
          <w:iCs/>
          <w:color w:val="555555"/>
          <w:sz w:val="20"/>
          <w:szCs w:val="20"/>
        </w:rPr>
        <w:t xml:space="preserve">Gambar 3. Effect size (Cohen's d dan Cliff's delta) skor SPE, T², dan combined score.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800"/>
        <w:gridCol w:w="1800"/>
        <w:gridCol w:w="1800"/>
      </w:tblGrid>
      <w:tr>
        <w:trPr>
          <w:tblHeader/>
        </w:trPr>
        <w:tc>
          <w:tcPr>
            <w:tcW w:type="dxa" w:w="2200"/>
            <w:shd w:fill="C44E52" w:color="auto" w:val="clear"/>
            <w:tcMar>
              <w:top w:type="dxa" w:w="60"/>
              <w:left w:type="dxa" w:w="100"/>
              <w:bottom w:type="dxa" w:w="60"/>
              <w:right w:type="dxa" w:w="100"/>
            </w:tcMar>
          </w:tcPr>
          <w:p>
            <w:r>
              <w:rPr>
                <w:rFonts w:ascii="Calibri" w:cs="Calibri" w:eastAsia="Calibri" w:hAnsi="Calibri"/>
                <w:b/>
                <w:bCs/>
                <w:color w:val="FFFFFF"/>
                <w:sz w:val="20"/>
                <w:szCs w:val="20"/>
              </w:rPr>
              <w:t xml:space="preserve">Skor</w:t>
            </w:r>
          </w:p>
        </w:tc>
        <w:tc>
          <w:tcPr>
            <w:tcW w:type="dxa" w:w="1600"/>
            <w:shd w:fill="C44E52" w:color="auto" w:val="clear"/>
            <w:tcMar>
              <w:top w:type="dxa" w:w="60"/>
              <w:left w:type="dxa" w:w="100"/>
              <w:bottom w:type="dxa" w:w="60"/>
              <w:right w:type="dxa" w:w="100"/>
            </w:tcMar>
          </w:tcPr>
          <w:p>
            <w:r>
              <w:rPr>
                <w:rFonts w:ascii="Calibri" w:cs="Calibri" w:eastAsia="Calibri" w:hAnsi="Calibri"/>
                <w:b/>
                <w:bCs/>
                <w:color w:val="FFFFFF"/>
                <w:sz w:val="20"/>
                <w:szCs w:val="20"/>
              </w:rPr>
              <w:t xml:space="preserve">Cohen's d</w:t>
            </w:r>
          </w:p>
        </w:tc>
        <w:tc>
          <w:tcPr>
            <w:tcW w:type="dxa" w:w="1800"/>
            <w:shd w:fill="C44E52" w:color="auto" w:val="clear"/>
            <w:tcMar>
              <w:top w:type="dxa" w:w="60"/>
              <w:left w:type="dxa" w:w="100"/>
              <w:bottom w:type="dxa" w:w="60"/>
              <w:right w:type="dxa" w:w="100"/>
            </w:tcMar>
          </w:tcPr>
          <w:p>
            <w:r>
              <w:rPr>
                <w:rFonts w:ascii="Calibri" w:cs="Calibri" w:eastAsia="Calibri" w:hAnsi="Calibri"/>
                <w:b/>
                <w:bCs/>
                <w:color w:val="FFFFFF"/>
                <w:sz w:val="20"/>
                <w:szCs w:val="20"/>
              </w:rPr>
              <w:t xml:space="preserve">Interpretasi</w:t>
            </w:r>
          </w:p>
        </w:tc>
        <w:tc>
          <w:tcPr>
            <w:tcW w:type="dxa" w:w="1800"/>
            <w:shd w:fill="C44E52" w:color="auto" w:val="clear"/>
            <w:tcMar>
              <w:top w:type="dxa" w:w="60"/>
              <w:left w:type="dxa" w:w="100"/>
              <w:bottom w:type="dxa" w:w="60"/>
              <w:right w:type="dxa" w:w="100"/>
            </w:tcMar>
          </w:tcPr>
          <w:p>
            <w:r>
              <w:rPr>
                <w:rFonts w:ascii="Calibri" w:cs="Calibri" w:eastAsia="Calibri" w:hAnsi="Calibri"/>
                <w:b/>
                <w:bCs/>
                <w:color w:val="FFFFFF"/>
                <w:sz w:val="20"/>
                <w:szCs w:val="20"/>
              </w:rPr>
              <w:t xml:space="preserve">Cliff's delta</w:t>
            </w:r>
          </w:p>
        </w:tc>
        <w:tc>
          <w:tcPr>
            <w:tcW w:type="dxa" w:w="1800"/>
            <w:shd w:fill="C44E52" w:color="auto" w:val="clear"/>
            <w:tcMar>
              <w:top w:type="dxa" w:w="60"/>
              <w:left w:type="dxa" w:w="100"/>
              <w:bottom w:type="dxa" w:w="60"/>
              <w:right w:type="dxa" w:w="100"/>
            </w:tcMar>
          </w:tcPr>
          <w:p>
            <w:r>
              <w:rPr>
                <w:rFonts w:ascii="Calibri" w:cs="Calibri" w:eastAsia="Calibri" w:hAnsi="Calibri"/>
                <w:b/>
                <w:bCs/>
                <w:color w:val="FFFFFF"/>
                <w:sz w:val="20"/>
                <w:szCs w:val="20"/>
              </w:rPr>
              <w:t xml:space="preserve">Interpretasi</w:t>
            </w:r>
          </w:p>
        </w:tc>
      </w:tr>
      <w:tr>
        <w:tc>
          <w:tcPr>
            <w:tcW w:type="dxa" w:w="2200"/>
            <w:tcMar>
              <w:top w:type="dxa" w:w="60"/>
              <w:left w:type="dxa" w:w="100"/>
              <w:bottom w:type="dxa" w:w="60"/>
              <w:right w:type="dxa" w:w="100"/>
            </w:tcMar>
          </w:tcPr>
          <w:p>
            <w:r>
              <w:rPr>
                <w:rFonts w:ascii="Calibri" w:cs="Calibri" w:eastAsia="Calibri" w:hAnsi="Calibri"/>
                <w:b w:val="false"/>
                <w:bCs w:val="false"/>
                <w:color w:val="000000"/>
                <w:sz w:val="20"/>
                <w:szCs w:val="20"/>
              </w:rPr>
              <w:t xml:space="preserve">SPE</w:t>
            </w:r>
          </w:p>
        </w:tc>
        <w:tc>
          <w:tcPr>
            <w:tcW w:type="dxa" w:w="1600"/>
            <w:tcMar>
              <w:top w:type="dxa" w:w="60"/>
              <w:left w:type="dxa" w:w="100"/>
              <w:bottom w:type="dxa" w:w="60"/>
              <w:right w:type="dxa" w:w="100"/>
            </w:tcMar>
          </w:tcPr>
          <w:p>
            <w:r>
              <w:rPr>
                <w:rFonts w:ascii="Calibri" w:cs="Calibri" w:eastAsia="Calibri" w:hAnsi="Calibri"/>
                <w:b w:val="false"/>
                <w:bCs w:val="false"/>
                <w:color w:val="000000"/>
                <w:sz w:val="20"/>
                <w:szCs w:val="20"/>
              </w:rPr>
              <w:t xml:space="preserve">0.146</w:t>
            </w:r>
          </w:p>
        </w:tc>
        <w:tc>
          <w:tcPr>
            <w:tcW w:type="dxa" w:w="1800"/>
            <w:tcMar>
              <w:top w:type="dxa" w:w="60"/>
              <w:left w:type="dxa" w:w="100"/>
              <w:bottom w:type="dxa" w:w="60"/>
              <w:right w:type="dxa" w:w="100"/>
            </w:tcMar>
          </w:tcPr>
          <w:p>
            <w:r>
              <w:rPr>
                <w:rFonts w:ascii="Calibri" w:cs="Calibri" w:eastAsia="Calibri" w:hAnsi="Calibri"/>
                <w:b w:val="false"/>
                <w:bCs w:val="false"/>
                <w:color w:val="000000"/>
                <w:sz w:val="20"/>
                <w:szCs w:val="20"/>
              </w:rPr>
              <w:t xml:space="preserve">negligible</w:t>
            </w:r>
          </w:p>
        </w:tc>
        <w:tc>
          <w:tcPr>
            <w:tcW w:type="dxa" w:w="1800"/>
            <w:tcMar>
              <w:top w:type="dxa" w:w="60"/>
              <w:left w:type="dxa" w:w="100"/>
              <w:bottom w:type="dxa" w:w="60"/>
              <w:right w:type="dxa" w:w="100"/>
            </w:tcMar>
          </w:tcPr>
          <w:p>
            <w:r>
              <w:rPr>
                <w:rFonts w:ascii="Calibri" w:cs="Calibri" w:eastAsia="Calibri" w:hAnsi="Calibri"/>
                <w:b w:val="false"/>
                <w:bCs w:val="false"/>
                <w:color w:val="000000"/>
                <w:sz w:val="20"/>
                <w:szCs w:val="20"/>
              </w:rPr>
              <w:t xml:space="preserve">0.042</w:t>
            </w:r>
          </w:p>
        </w:tc>
        <w:tc>
          <w:tcPr>
            <w:tcW w:type="dxa" w:w="1800"/>
            <w:tcMar>
              <w:top w:type="dxa" w:w="60"/>
              <w:left w:type="dxa" w:w="100"/>
              <w:bottom w:type="dxa" w:w="60"/>
              <w:right w:type="dxa" w:w="100"/>
            </w:tcMar>
          </w:tcPr>
          <w:p>
            <w:r>
              <w:rPr>
                <w:rFonts w:ascii="Calibri" w:cs="Calibri" w:eastAsia="Calibri" w:hAnsi="Calibri"/>
                <w:b w:val="false"/>
                <w:bCs w:val="false"/>
                <w:color w:val="000000"/>
                <w:sz w:val="20"/>
                <w:szCs w:val="20"/>
              </w:rPr>
              <w:t xml:space="preserve">negligible</w:t>
            </w:r>
          </w:p>
        </w:tc>
      </w:tr>
      <w:tr>
        <w:tc>
          <w:tcPr>
            <w:tcW w:type="dxa" w:w="2200"/>
            <w:tcMar>
              <w:top w:type="dxa" w:w="60"/>
              <w:left w:type="dxa" w:w="100"/>
              <w:bottom w:type="dxa" w:w="60"/>
              <w:right w:type="dxa" w:w="100"/>
            </w:tcMar>
          </w:tcPr>
          <w:p>
            <w:r>
              <w:rPr>
                <w:rFonts w:ascii="Calibri" w:cs="Calibri" w:eastAsia="Calibri" w:hAnsi="Calibri"/>
                <w:b w:val="false"/>
                <w:bCs w:val="false"/>
                <w:color w:val="000000"/>
                <w:sz w:val="20"/>
                <w:szCs w:val="20"/>
              </w:rPr>
              <w:t xml:space="preserve">T²</w:t>
            </w:r>
          </w:p>
        </w:tc>
        <w:tc>
          <w:tcPr>
            <w:tcW w:type="dxa" w:w="1600"/>
            <w:tcMar>
              <w:top w:type="dxa" w:w="60"/>
              <w:left w:type="dxa" w:w="100"/>
              <w:bottom w:type="dxa" w:w="60"/>
              <w:right w:type="dxa" w:w="100"/>
            </w:tcMar>
          </w:tcPr>
          <w:p>
            <w:r>
              <w:rPr>
                <w:rFonts w:ascii="Calibri" w:cs="Calibri" w:eastAsia="Calibri" w:hAnsi="Calibri"/>
                <w:b w:val="false"/>
                <w:bCs w:val="false"/>
                <w:color w:val="000000"/>
                <w:sz w:val="20"/>
                <w:szCs w:val="20"/>
              </w:rPr>
              <w:t xml:space="preserve">0.454</w:t>
            </w:r>
          </w:p>
        </w:tc>
        <w:tc>
          <w:tcPr>
            <w:tcW w:type="dxa" w:w="1800"/>
            <w:tcMar>
              <w:top w:type="dxa" w:w="60"/>
              <w:left w:type="dxa" w:w="100"/>
              <w:bottom w:type="dxa" w:w="60"/>
              <w:right w:type="dxa" w:w="100"/>
            </w:tcMar>
          </w:tcPr>
          <w:p>
            <w:r>
              <w:rPr>
                <w:rFonts w:ascii="Calibri" w:cs="Calibri" w:eastAsia="Calibri" w:hAnsi="Calibri"/>
                <w:b w:val="false"/>
                <w:bCs w:val="false"/>
                <w:color w:val="000000"/>
                <w:sz w:val="20"/>
                <w:szCs w:val="20"/>
              </w:rPr>
              <w:t xml:space="preserve">small</w:t>
            </w:r>
          </w:p>
        </w:tc>
        <w:tc>
          <w:tcPr>
            <w:tcW w:type="dxa" w:w="1800"/>
            <w:tcMar>
              <w:top w:type="dxa" w:w="60"/>
              <w:left w:type="dxa" w:w="100"/>
              <w:bottom w:type="dxa" w:w="60"/>
              <w:right w:type="dxa" w:w="100"/>
            </w:tcMar>
          </w:tcPr>
          <w:p>
            <w:r>
              <w:rPr>
                <w:rFonts w:ascii="Calibri" w:cs="Calibri" w:eastAsia="Calibri" w:hAnsi="Calibri"/>
                <w:b w:val="false"/>
                <w:bCs w:val="false"/>
                <w:color w:val="000000"/>
                <w:sz w:val="20"/>
                <w:szCs w:val="20"/>
              </w:rPr>
              <w:t xml:space="preserve">0.349</w:t>
            </w:r>
          </w:p>
        </w:tc>
        <w:tc>
          <w:tcPr>
            <w:tcW w:type="dxa" w:w="1800"/>
            <w:tcMar>
              <w:top w:type="dxa" w:w="60"/>
              <w:left w:type="dxa" w:w="100"/>
              <w:bottom w:type="dxa" w:w="60"/>
              <w:right w:type="dxa" w:w="100"/>
            </w:tcMar>
          </w:tcPr>
          <w:p>
            <w:r>
              <w:rPr>
                <w:rFonts w:ascii="Calibri" w:cs="Calibri" w:eastAsia="Calibri" w:hAnsi="Calibri"/>
                <w:b w:val="false"/>
                <w:bCs w:val="false"/>
                <w:color w:val="000000"/>
                <w:sz w:val="20"/>
                <w:szCs w:val="20"/>
              </w:rPr>
              <w:t xml:space="preserve">medium</w:t>
            </w:r>
          </w:p>
        </w:tc>
      </w:tr>
      <w:tr>
        <w:tc>
          <w:tcPr>
            <w:tcW w:type="dxa" w:w="2200"/>
            <w:tcMar>
              <w:top w:type="dxa" w:w="60"/>
              <w:left w:type="dxa" w:w="100"/>
              <w:bottom w:type="dxa" w:w="60"/>
              <w:right w:type="dxa" w:w="100"/>
            </w:tcMar>
          </w:tcPr>
          <w:p>
            <w:r>
              <w:rPr>
                <w:rFonts w:ascii="Calibri" w:cs="Calibri" w:eastAsia="Calibri" w:hAnsi="Calibri"/>
                <w:b w:val="false"/>
                <w:bCs w:val="false"/>
                <w:color w:val="000000"/>
                <w:sz w:val="20"/>
                <w:szCs w:val="20"/>
              </w:rPr>
              <w:t xml:space="preserve">Combined score</w:t>
            </w:r>
          </w:p>
        </w:tc>
        <w:tc>
          <w:tcPr>
            <w:tcW w:type="dxa" w:w="1600"/>
            <w:tcMar>
              <w:top w:type="dxa" w:w="60"/>
              <w:left w:type="dxa" w:w="100"/>
              <w:bottom w:type="dxa" w:w="60"/>
              <w:right w:type="dxa" w:w="100"/>
            </w:tcMar>
          </w:tcPr>
          <w:p>
            <w:r>
              <w:rPr>
                <w:rFonts w:ascii="Calibri" w:cs="Calibri" w:eastAsia="Calibri" w:hAnsi="Calibri"/>
                <w:b w:val="false"/>
                <w:bCs w:val="false"/>
                <w:color w:val="000000"/>
                <w:sz w:val="20"/>
                <w:szCs w:val="20"/>
              </w:rPr>
              <w:t xml:space="preserve">0.451</w:t>
            </w:r>
          </w:p>
        </w:tc>
        <w:tc>
          <w:tcPr>
            <w:tcW w:type="dxa" w:w="1800"/>
            <w:tcMar>
              <w:top w:type="dxa" w:w="60"/>
              <w:left w:type="dxa" w:w="100"/>
              <w:bottom w:type="dxa" w:w="60"/>
              <w:right w:type="dxa" w:w="100"/>
            </w:tcMar>
          </w:tcPr>
          <w:p>
            <w:r>
              <w:rPr>
                <w:rFonts w:ascii="Calibri" w:cs="Calibri" w:eastAsia="Calibri" w:hAnsi="Calibri"/>
                <w:b w:val="false"/>
                <w:bCs w:val="false"/>
                <w:color w:val="000000"/>
                <w:sz w:val="20"/>
                <w:szCs w:val="20"/>
              </w:rPr>
              <w:t xml:space="preserve">small</w:t>
            </w:r>
          </w:p>
        </w:tc>
        <w:tc>
          <w:tcPr>
            <w:tcW w:type="dxa" w:w="1800"/>
            <w:tcMar>
              <w:top w:type="dxa" w:w="60"/>
              <w:left w:type="dxa" w:w="100"/>
              <w:bottom w:type="dxa" w:w="60"/>
              <w:right w:type="dxa" w:w="100"/>
            </w:tcMar>
          </w:tcPr>
          <w:p>
            <w:r>
              <w:rPr>
                <w:rFonts w:ascii="Calibri" w:cs="Calibri" w:eastAsia="Calibri" w:hAnsi="Calibri"/>
                <w:b w:val="false"/>
                <w:bCs w:val="false"/>
                <w:color w:val="000000"/>
                <w:sz w:val="20"/>
                <w:szCs w:val="20"/>
              </w:rPr>
              <w:t xml:space="preserve">0.330</w:t>
            </w:r>
          </w:p>
        </w:tc>
        <w:tc>
          <w:tcPr>
            <w:tcW w:type="dxa" w:w="1800"/>
            <w:tcMar>
              <w:top w:type="dxa" w:w="60"/>
              <w:left w:type="dxa" w:w="100"/>
              <w:bottom w:type="dxa" w:w="60"/>
              <w:right w:type="dxa" w:w="100"/>
            </w:tcMar>
          </w:tcPr>
          <w:p>
            <w:r>
              <w:rPr>
                <w:rFonts w:ascii="Calibri" w:cs="Calibri" w:eastAsia="Calibri" w:hAnsi="Calibri"/>
                <w:b w:val="false"/>
                <w:bCs w:val="false"/>
                <w:color w:val="000000"/>
                <w:sz w:val="20"/>
                <w:szCs w:val="20"/>
              </w:rPr>
              <w:t xml:space="preserve">medium</w:t>
            </w:r>
          </w:p>
        </w:tc>
      </w:tr>
    </w:tbl>
    <w:p>
      <w:pPr>
        <w:spacing w:after="160" w:line="300"/>
        <w:jc w:val="both"/>
      </w:pPr>
      <w:r>
        <w:rPr>
          <w:rFonts w:ascii="Calibri" w:cs="Calibri" w:eastAsia="Calibri" w:hAnsi="Calibri"/>
          <w:sz w:val="22"/>
          <w:szCs w:val="22"/>
        </w:rPr>
        <w:t xml:space="preserve"/>
      </w:r>
    </w:p>
    <w:p>
      <w:pPr>
        <w:pStyle w:val="Heading2"/>
        <w:spacing w:after="120" w:before="240"/>
      </w:pPr>
      <w:r>
        <w:rPr>
          <w:rFonts w:ascii="Calibri" w:cs="Calibri" w:eastAsia="Calibri" w:hAnsi="Calibri"/>
          <w:b/>
          <w:bCs/>
        </w:rPr>
        <w:t xml:space="preserve">4.4 Contribution Plot</w:t>
      </w:r>
    </w:p>
    <w:p>
      <w:pPr>
        <w:spacing w:after="160" w:line="300"/>
        <w:jc w:val="both"/>
      </w:pPr>
      <w:r>
        <w:rPr>
          <w:rFonts w:ascii="Calibri" w:cs="Calibri" w:eastAsia="Calibri" w:hAnsi="Calibri"/>
          <w:sz w:val="22"/>
          <w:szCs w:val="22"/>
        </w:rPr>
        <w:t xml:space="preserve">Untuk observasi krisis yang terdeteksi sebagai anomali, dihitung kontribusi rata-rata tiap variabel terhadap SPE untuk mengidentifikasi indikator makroekonomi yang paling menyimpang saat krisis terjadi.</w:t>
      </w:r>
    </w:p>
    <w:p>
      <w:pPr>
        <w:spacing w:after="60" w:before="120"/>
        <w:jc w:val="center"/>
      </w:pPr>
      <w:r>
        <w:drawing>
          <wp:inline distT="0" distB="0" distL="0" distR="0">
            <wp:extent cx="49530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695700"/>
                    </a:xfrm>
                    <a:prstGeom prst="rect">
                      <a:avLst/>
                    </a:prstGeom>
                  </pic:spPr>
                </pic:pic>
              </a:graphicData>
            </a:graphic>
          </wp:inline>
        </w:drawing>
      </w:r>
    </w:p>
    <w:p>
      <w:pPr>
        <w:spacing w:after="240"/>
        <w:jc w:val="center"/>
      </w:pPr>
      <w:r>
        <w:rPr>
          <w:rFonts w:ascii="Calibri" w:cs="Calibri" w:eastAsia="Calibri" w:hAnsi="Calibri"/>
          <w:i/>
          <w:iCs/>
          <w:color w:val="555555"/>
          <w:sz w:val="20"/>
          <w:szCs w:val="20"/>
        </w:rPr>
        <w:t xml:space="preserve">Gambar 4. Rata-rata kontribusi tiap variabel terhadap SPE pada anomali saat krisis.</w:t>
      </w:r>
    </w:p>
    <w:p>
      <w:pPr>
        <w:pStyle w:val="Heading1"/>
        <w:spacing w:after="160" w:before="320"/>
      </w:pPr>
      <w:r>
        <w:rPr>
          <w:rFonts w:ascii="Calibri" w:cs="Calibri" w:eastAsia="Calibri" w:hAnsi="Calibri"/>
          <w:b/>
          <w:bCs/>
          <w:color w:val="8B2E33"/>
        </w:rPr>
        <w:t xml:space="preserve">5. Pembahasan</w:t>
      </w:r>
    </w:p>
    <w:p>
      <w:pPr>
        <w:spacing w:after="160" w:line="300"/>
        <w:jc w:val="both"/>
      </w:pPr>
      <w:r>
        <w:rPr>
          <w:rFonts w:ascii="Calibri" w:cs="Calibri" w:eastAsia="Calibri" w:hAnsi="Calibri"/>
          <w:sz w:val="22"/>
          <w:szCs w:val="22"/>
        </w:rPr>
        <w:t xml:space="preserve">Hasil menunjukkan bahwa Hotelling's T² memberikan diskriminasi krisis-vs-normal yang lebih baik dibandingkan SPE pada dataset ini (AUC-ROC T² = 0.675 vs SPE = 0.521, effect size T² juga lebih besar). Hal ini mengindikasikan bahwa periode krisis pada data makroekonomi ini lebih sering bermanifestasi sebagai kombinasi nilai ekstrem di dalam ruang komponen utama yang menjelaskan variasi terbesar (ditangkap T²), dibandingkan sebagai pola yang gagal direkonstruksi oleh komponen utama tersebut (ditangkap SPE).</w:t>
      </w:r>
    </w:p>
    <w:p>
      <w:pPr>
        <w:spacing w:after="160" w:line="300"/>
        <w:jc w:val="both"/>
      </w:pPr>
      <w:r>
        <w:rPr>
          <w:rFonts w:ascii="Calibri" w:cs="Calibri" w:eastAsia="Calibri" w:hAnsi="Calibri"/>
          <w:sz w:val="22"/>
          <w:szCs w:val="22"/>
        </w:rPr>
        <w:t xml:space="preserve">Skor gabungan (combined_score), yang mengambil rasio maksimum SPE dan T² terhadap UCL masing-masing, memberikan keseimbangan Precision-Recall-F1 yang wajar untuk dipakai sebagai bagian dari sistem EWS, meskipun secara AUC-ROC sedikit lebih rendah dari T² saja -- menunjukkan bahwa penambahan SPE ke dalam skor gabungan sedikit menambah noise pada kasus dataset ini.</w:t>
      </w:r>
    </w:p>
    <w:p>
      <w:pPr>
        <w:spacing w:after="160" w:line="300"/>
        <w:jc w:val="both"/>
      </w:pPr>
      <w:r>
        <w:rPr>
          <w:rFonts w:ascii="Calibri" w:cs="Calibri" w:eastAsia="Calibri" w:hAnsi="Calibri"/>
          <w:sz w:val="22"/>
          <w:szCs w:val="22"/>
        </w:rPr>
        <w:t xml:space="preserve">Contribution plot menunjukkan variabel-variabel terkait cadangan devisa dan investasi/tabungan domestik sebagai kontributor utama pada anomali yang terdeteksi saat krisis, konsisten dengan literatur EWS klasik (Kaminsky et al., 1997) yang menekankan peran cadangan devisa sebagai salah satu prediktor krisis mata uang terkuat.</w:t>
      </w:r>
    </w:p>
    <w:p>
      <w:pPr>
        <w:spacing w:after="160" w:line="300"/>
        <w:jc w:val="both"/>
      </w:pPr>
      <w:r>
        <w:rPr>
          <w:rFonts w:ascii="Calibri" w:cs="Calibri" w:eastAsia="Calibri" w:hAnsi="Calibri"/>
          <w:sz w:val="22"/>
          <w:szCs w:val="22"/>
        </w:rPr>
        <w:t xml:space="preserve">Sebagai keterbatasan, UCL berbasis asumsi distribusi (chi-square approx. untuk SPE, F untuk T²) dapat kurang presisi bila residual atau skor komponen utama tidak sepenuhnya memenuhi asumsi tersebut. Penyertaan Cliff's delta sebagai pembanding non-parametrik dimaksudkan untuk memitigasi keterbatasan ini.</w:t>
      </w:r>
    </w:p>
    <w:p>
      <w:pPr>
        <w:pStyle w:val="Heading1"/>
        <w:spacing w:after="160" w:before="320"/>
      </w:pPr>
      <w:r>
        <w:rPr>
          <w:rFonts w:ascii="Calibri" w:cs="Calibri" w:eastAsia="Calibri" w:hAnsi="Calibri"/>
          <w:b/>
          <w:bCs/>
          <w:color w:val="8B2E33"/>
        </w:rPr>
        <w:t xml:space="preserve">6. Kesimpulan</w:t>
      </w:r>
    </w:p>
    <w:p>
      <w:pPr>
        <w:pStyle w:val="ListParagraph"/>
        <w:numPr>
          <w:ilvl w:val="0"/>
          <w:numId w:val="1"/>
        </w:numPr>
        <w:spacing w:after="80"/>
      </w:pPr>
      <w:r>
        <w:rPr>
          <w:rFonts w:ascii="Calibri" w:cs="Calibri" w:eastAsia="Calibri" w:hAnsi="Calibri"/>
          <w:sz w:val="22"/>
          <w:szCs w:val="22"/>
        </w:rPr>
        <w:t xml:space="preserve">PCA dilatih dari 1385 observasi normal dan mempertahankan 9 komponen utama (≥ 95% cumulative explained variance).</w:t>
      </w:r>
    </w:p>
    <w:p>
      <w:pPr>
        <w:pStyle w:val="ListParagraph"/>
        <w:numPr>
          <w:ilvl w:val="0"/>
          <w:numId w:val="1"/>
        </w:numPr>
        <w:spacing w:after="80"/>
      </w:pPr>
      <w:r>
        <w:rPr>
          <w:rFonts w:ascii="Calibri" w:cs="Calibri" w:eastAsia="Calibri" w:hAnsi="Calibri"/>
          <w:sz w:val="22"/>
          <w:szCs w:val="22"/>
        </w:rPr>
        <w:t xml:space="preserve">SPE dan T² dihitung untuk seluruh 1714 observasi, dengan UCL yang murni ditentukan dari sebaran data normal -- tidak ada leakage label krisis ke tahap penentuan ambang batas.</w:t>
      </w:r>
    </w:p>
    <w:p>
      <w:pPr>
        <w:pStyle w:val="ListParagraph"/>
        <w:numPr>
          <w:ilvl w:val="0"/>
          <w:numId w:val="1"/>
        </w:numPr>
        <w:spacing w:after="80"/>
      </w:pPr>
      <w:r>
        <w:rPr>
          <w:rFonts w:ascii="Calibri" w:cs="Calibri" w:eastAsia="Calibri" w:hAnsi="Calibri"/>
          <w:sz w:val="22"/>
          <w:szCs w:val="22"/>
        </w:rPr>
        <w:t xml:space="preserve">Hotelling's T² (AUC-ROC = 0.675) mengungguli SPE (AUC-ROC = 0.521) dalam mendeteksi periode krisis pada dataset ini.</w:t>
      </w:r>
    </w:p>
    <w:p>
      <w:pPr>
        <w:pStyle w:val="ListParagraph"/>
        <w:numPr>
          <w:ilvl w:val="0"/>
          <w:numId w:val="1"/>
        </w:numPr>
        <w:spacing w:after="80"/>
      </w:pPr>
      <w:r>
        <w:rPr>
          <w:rFonts w:ascii="Calibri" w:cs="Calibri" w:eastAsia="Calibri" w:hAnsi="Calibri"/>
          <w:sz w:val="22"/>
          <w:szCs w:val="22"/>
        </w:rPr>
        <w:t xml:space="preserve">Skema evaluasi yang digunakan (fit dari seluruh data normal, scoring pada seluruh dataset) memungkinkan perbandingan yang adil dengan hasil LOF dan algoritma lain di laporan gabungan kelompok.</w:t>
      </w:r>
    </w:p>
    <w:sectPr>
      <w:pgSz w:w="11907" w:h="16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0e60ca9d4edb39e9634d1b7cabf97f76068dd1d.png"/><Relationship Id="rId8" Type="http://schemas.openxmlformats.org/officeDocument/2006/relationships/image" Target="media/2a28fc5f5b4b22b3a269156237b8e94619595393.png"/><Relationship Id="rId9" Type="http://schemas.openxmlformats.org/officeDocument/2006/relationships/image" Target="media/112ef02d6f2b69b49cccbd380b19572aacd7cf0e.png"/><Relationship Id="rId10" Type="http://schemas.openxmlformats.org/officeDocument/2006/relationships/image" Target="media/d2c69d46d22f99844d28b62bb8308b3f67272ca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2026-09-12T03:30:18.103Z</dcterms:created>
  <dcterms:modified xsi:type="dcterms:W3CDTF">2026-09-12T03:30:18.103Z</dcterms:modified>
</cp:coreProperties>
</file>

<file path=docProps/custom.xml><?xml version="1.0" encoding="utf-8"?>
<Properties xmlns="http://schemas.openxmlformats.org/officeDocument/2006/custom-properties" xmlns:vt="http://schemas.openxmlformats.org/officeDocument/2006/docPropsVTypes"/>
</file>