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Calibri" w:hAnsi="Calibri"/>
          <w:b/>
          <w:color w:val="1F4E78"/>
          <w:sz w:val="36"/>
        </w:rPr>
        <w:t>📍 Laporan Akademik Pembaruan — Deteksi Anomali Indikator Ekonomi Makro dengan One-Class Support Vector Machine (OC-SVM)</w:t>
      </w:r>
    </w:p>
    <w:p>
      <w:pPr>
        <w:spacing w:before="40" w:after="80" w:line="276" w:lineRule="auto"/>
      </w:pPr>
      <w:r/>
      <w:r>
        <w:rPr>
          <w:b/>
        </w:rPr>
        <w:t>Disusun oleh:</w:t>
      </w:r>
      <w:r>
        <w:t xml:space="preserve"> Nyimas Virna Salsa Lestari Risqia (222313307)</w:t>
      </w:r>
    </w:p>
    <w:p>
      <w:pPr>
        <w:spacing w:before="40" w:after="80" w:line="276" w:lineRule="auto"/>
      </w:pPr>
      <w:r/>
      <w:r>
        <w:rPr>
          <w:b/>
        </w:rPr>
        <w:t>Program Studi:</w:t>
      </w:r>
      <w:r>
        <w:t xml:space="preserve"> DIV Komputasi Statistik — Politeknik Statistika STIS</w:t>
      </w:r>
    </w:p>
    <w:p>
      <w:pPr>
        <w:spacing w:before="40" w:after="80" w:line="276" w:lineRule="auto"/>
      </w:pPr>
      <w:r/>
      <w:r>
        <w:rPr>
          <w:b/>
        </w:rPr>
        <w:t>Mata Kuliah:</w:t>
      </w:r>
      <w:r>
        <w:t xml:space="preserve"> Data Mining — UTS Semester 6 (2026)</w:t>
      </w:r>
    </w:p>
    <w:p>
      <w:pPr>
        <w:spacing w:before="40" w:after="80" w:line="276" w:lineRule="auto"/>
      </w:pPr>
      <w:r/>
      <w:r>
        <w:rPr>
          <w:b/>
        </w:rPr>
        <w:t>Kelompok:</w:t>
      </w:r>
      <w:r>
        <w:t xml:space="preserve"> 3SI1 — Kelompok 4</w:t>
      </w:r>
    </w:p>
    <w:p>
      <w:pPr>
        <w:spacing w:before="40" w:after="80" w:line="276" w:lineRule="auto"/>
      </w:pPr>
      <w:r/>
      <w:r>
        <w:rPr>
          <w:b/>
        </w:rPr>
        <w:t>Metode:</w:t>
      </w:r>
      <w:r>
        <w:t xml:space="preserve"> One-Class Support Vector Machine (Kernel/Boundary-Based Unsupervised Anomaly Detection)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rFonts w:ascii="Calibri" w:hAnsi="Calibri"/>
          <w:b/>
          <w:color w:val="2E5B88"/>
          <w:sz w:val="28"/>
        </w:rPr>
        <w:t>1. Ringkasan Eksekutif</w:t>
      </w:r>
    </w:p>
    <w:p>
      <w:pPr>
        <w:spacing w:before="40" w:after="80" w:line="276" w:lineRule="auto"/>
      </w:pPr>
      <w:r>
        <w:t xml:space="preserve">Laporan ini menyajikan pembaruan menyeluruh atas implementasi dan evaluasi algoritma </w:t>
      </w:r>
      <w:r>
        <w:rPr>
          <w:b/>
        </w:rPr>
        <w:t>One-Class Support Vector Machine (OC-SVM)</w:t>
      </w:r>
      <w:r>
        <w:t xml:space="preserve"> sebagai instrumen </w:t>
      </w:r>
      <w:r>
        <w:rPr>
          <w:i/>
        </w:rPr>
        <w:t>Early Warning System</w:t>
      </w:r>
      <w:r>
        <w:t xml:space="preserve"> (EWS) krisis ekonomi. Pembaruan dilakukan berbasis dataset master baru </w:t>
      </w:r>
      <w:r>
        <w:rPr>
          <w:rFonts w:ascii="Consolas" w:hAnsi="Consolas"/>
          <w:color w:val="8B0000"/>
          <w:sz w:val="19"/>
        </w:rPr>
        <w:t>raw_data_master.csv</w:t>
      </w:r>
      <w:r>
        <w:t xml:space="preserve"> dan </w:t>
      </w:r>
      <w:r>
        <w:rPr>
          <w:rFonts w:ascii="Consolas" w:hAnsi="Consolas"/>
          <w:color w:val="8B0000"/>
          <w:sz w:val="19"/>
        </w:rPr>
        <w:t>ground_truth_imf.csv</w:t>
      </w:r>
      <w:r>
        <w:t xml:space="preserve"> yang mencakup 1.715 observasi dari 49 negara dalam rentang tahun 1990–2024.</w:t>
      </w:r>
    </w:p>
    <w:p>
      <w:pPr>
        <w:spacing w:before="40" w:after="80" w:line="276" w:lineRule="auto"/>
      </w:pPr>
      <w:r/>
      <w:r>
        <w:rPr>
          <w:b/>
        </w:rPr>
        <w:t>Pembaruan Utamanya Meliputi:</w:t>
      </w:r>
      <w:r/>
    </w:p>
    <w:p>
      <w:pPr>
        <w:pStyle w:val="ListNumber"/>
        <w:spacing w:before="20" w:after="40"/>
      </w:pPr>
      <w:r/>
      <w:r>
        <w:rPr>
          <w:b/>
        </w:rPr>
        <w:t>Peningkatan Kualitas Data &amp; Feature Engineering:</w:t>
      </w:r>
      <w:r/>
    </w:p>
    <w:p>
      <w:pPr>
        <w:pStyle w:val="ListBullet"/>
        <w:spacing w:before="20" w:after="40"/>
      </w:pPr>
      <w:r>
        <w:t>Variabel nominal `Exchange_Rate` diubah menjadi persentase depresiasi tahunan `Exchange_Depreciation` (`pct_change() * 100` per negara) untuk mengeliminasi bias nominal mata uang (seperti IDR ~15.000 atau VND ~24.000).</w:t>
      </w:r>
    </w:p>
    <w:p>
      <w:pPr>
        <w:pStyle w:val="ListBullet"/>
        <w:spacing w:before="20" w:after="40"/>
      </w:pPr>
      <w:r>
        <w:t>Pengurutan data secara ketat berdasarkan `['economy', 'year']`.</w:t>
      </w:r>
    </w:p>
    <w:p>
      <w:pPr>
        <w:pStyle w:val="ListBullet"/>
        <w:spacing w:before="20" w:after="40"/>
      </w:pPr>
      <w:r>
        <w:t>Pipeline imputasi multi-tahap: interpolasi linear per negara, pengisian median batas deret per negara, dan `KNNImputer(n_neighbors=5)` sehingga menghasilkan 0 missing values.</w:t>
      </w:r>
    </w:p>
    <w:p>
      <w:pPr>
        <w:pStyle w:val="ListBullet"/>
        <w:spacing w:before="20" w:after="40"/>
      </w:pPr>
      <w:r>
        <w:t>Penskalaan fitur menggunakan `StandardScaler()`.</w:t>
      </w:r>
    </w:p>
    <w:p>
      <w:pPr>
        <w:pStyle w:val="ListNumber"/>
        <w:spacing w:before="20" w:after="40"/>
      </w:pPr>
      <w:r/>
      <w:r>
        <w:rPr>
          <w:b/>
        </w:rPr>
        <w:t>Peningkatan Daya Deteksi (Recall &amp; ROC-AUC):</w:t>
      </w:r>
      <w:r/>
    </w:p>
    <w:p>
      <w:pPr>
        <w:pStyle w:val="ListBullet"/>
        <w:spacing w:before="20" w:after="40"/>
      </w:pPr>
      <w:r>
        <w:t xml:space="preserve">Hasil tuning pada 64 kombinasi hyperparameter ($\nu \in [0.01, 0.25]$ dan $\gamma \in [\text{'scale'}, \text{'auto'}, 0.001, 1.0]$) menghasilkan kombinasi terbaik pada </w:t>
      </w:r>
      <w:r>
        <w:rPr>
          <w:b/>
        </w:rPr>
        <w:t>$\nu = 0.25$ dan $\gamma = 0.5$</w:t>
      </w:r>
      <w:r>
        <w:t>.</w:t>
      </w:r>
    </w:p>
    <w:p>
      <w:pPr>
        <w:pStyle w:val="ListBullet"/>
        <w:spacing w:before="20" w:after="40"/>
      </w:pPr>
      <w:r/>
      <w:r>
        <w:rPr>
          <w:b/>
        </w:rPr>
        <w:t>Recall melonjak menjadi 51.09%</w:t>
      </w:r>
      <w:r>
        <w:t xml:space="preserve"> (berhasil mendeteksi lebih dari 51% dari seluruh kejadian krisis historis).</w:t>
      </w:r>
    </w:p>
    <w:p>
      <w:pPr>
        <w:pStyle w:val="ListBullet"/>
        <w:spacing w:before="20" w:after="40"/>
      </w:pPr>
      <w:r/>
      <w:r>
        <w:rPr>
          <w:b/>
        </w:rPr>
        <w:t>ROC-AUC mencapai 0.6858</w:t>
      </w:r>
      <w:r>
        <w:t xml:space="preserve"> (meningkat dari model sebelumnya).</w:t>
      </w:r>
    </w:p>
    <w:p>
      <w:pPr>
        <w:pStyle w:val="ListBullet"/>
        <w:spacing w:before="20" w:after="40"/>
      </w:pPr>
      <w:r/>
      <w:r>
        <w:rPr>
          <w:b/>
        </w:rPr>
        <w:t>F1-Score:</w:t>
      </w:r>
      <w:r>
        <w:t xml:space="preserve"> 34.82% (0.3482) | </w:t>
      </w:r>
      <w:r>
        <w:rPr>
          <w:b/>
        </w:rPr>
        <w:t>Precision:</w:t>
      </w:r>
      <w:r>
        <w:t xml:space="preserve"> 26.41% | </w:t>
      </w:r>
      <w:r>
        <w:rPr>
          <w:b/>
        </w:rPr>
        <w:t>PR-AUC:</w:t>
      </w:r>
      <w:r>
        <w:t xml:space="preserve"> 0.2781.</w:t>
      </w:r>
    </w:p>
    <w:p>
      <w:pPr>
        <w:pStyle w:val="ListNumber"/>
        <w:spacing w:before="20" w:after="40"/>
      </w:pPr>
      <w:r/>
      <w:r>
        <w:rPr>
          <w:b/>
        </w:rPr>
        <w:t>Peningkatan Deteksi per Krisis Historis (Ground Truth IMF):</w:t>
      </w:r>
      <w:r/>
    </w:p>
    <w:p>
      <w:pPr>
        <w:pStyle w:val="ListBullet"/>
        <w:spacing w:before="20" w:after="40"/>
      </w:pPr>
      <w:r/>
      <w:r>
        <w:rPr>
          <w:b/>
        </w:rPr>
        <w:t>Krisis Keuangan Asia 1997–1998:</w:t>
      </w:r>
      <w:r>
        <w:t xml:space="preserve"> Daya deteksi melonjak tajam ke </w:t>
      </w:r>
      <w:r>
        <w:rPr>
          <w:b/>
        </w:rPr>
        <w:t>70.0%</w:t>
      </w:r>
      <w:r>
        <w:t xml:space="preserve"> (7/10 observasi).</w:t>
      </w:r>
    </w:p>
    <w:p>
      <w:pPr>
        <w:pStyle w:val="ListBullet"/>
        <w:spacing w:before="20" w:after="40"/>
      </w:pPr>
      <w:r/>
      <w:r>
        <w:rPr>
          <w:b/>
        </w:rPr>
        <w:t>Krisis Utang Eropa 2010–2012:</w:t>
      </w:r>
      <w:r>
        <w:t xml:space="preserve"> Daya deteksi meningkat ke </w:t>
      </w:r>
      <w:r>
        <w:rPr>
          <w:b/>
        </w:rPr>
        <w:t>60.0%</w:t>
      </w:r>
      <w:r>
        <w:t xml:space="preserve"> (9/15 observasi).</w:t>
      </w:r>
    </w:p>
    <w:p>
      <w:pPr>
        <w:pStyle w:val="ListBullet"/>
        <w:spacing w:before="20" w:after="40"/>
      </w:pPr>
      <w:r/>
      <w:r>
        <w:rPr>
          <w:b/>
        </w:rPr>
        <w:t>Global Financial Crisis 2008–2009:</w:t>
      </w:r>
      <w:r>
        <w:t xml:space="preserve"> Daya deteksi meningkat ke </w:t>
      </w:r>
      <w:r>
        <w:rPr>
          <w:b/>
        </w:rPr>
        <w:t>38.8%</w:t>
      </w:r>
      <w:r>
        <w:t xml:space="preserve"> (38/98 observasi).</w:t>
      </w:r>
    </w:p>
    <w:p>
      <w:pPr>
        <w:pStyle w:val="ListBullet"/>
        <w:spacing w:before="20" w:after="40"/>
      </w:pPr>
      <w:r/>
      <w:r>
        <w:rPr>
          <w:b/>
        </w:rPr>
        <w:t>Pandemi COVID-19 2020:</w:t>
      </w:r>
      <w:r>
        <w:t xml:space="preserve"> Tetap tinggi pada </w:t>
      </w:r>
      <w:r>
        <w:rPr>
          <w:b/>
        </w:rPr>
        <w:t>69.4%</w:t>
      </w:r>
      <w:r>
        <w:t xml:space="preserve"> (34/49 negara).</w:t>
      </w:r>
    </w:p>
    <w:p>
      <w:pPr>
        <w:pStyle w:val="ListBullet"/>
        <w:spacing w:before="20" w:after="40"/>
      </w:pPr>
      <w:r/>
      <w:r>
        <w:rPr>
          <w:b/>
        </w:rPr>
        <w:t>Krisis Rusia 1998 &amp; Argentina 2001–2002:</w:t>
      </w:r>
      <w:r>
        <w:t xml:space="preserve"> Deteksi sempurna </w:t>
      </w:r>
      <w:r>
        <w:rPr>
          <w:b/>
        </w:rPr>
        <w:t>100.0%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rFonts w:ascii="Calibri" w:hAnsi="Calibri"/>
          <w:b/>
          <w:color w:val="2E5B88"/>
          <w:sz w:val="28"/>
        </w:rPr>
        <w:t>2. Landasan Teori One-Class Support Vector Machine</w:t>
      </w:r>
    </w:p>
    <w:p>
      <w:pPr>
        <w:keepNext/>
        <w:spacing w:before="200" w:after="80"/>
      </w:pPr>
      <w:r>
        <w:rPr>
          <w:rFonts w:ascii="Calibri" w:hAnsi="Calibri"/>
          <w:b/>
          <w:color w:val="333333"/>
          <w:sz w:val="24"/>
        </w:rPr>
        <w:t>2.1 Konsep Utama</w:t>
      </w:r>
    </w:p>
    <w:p>
      <w:pPr>
        <w:spacing w:before="40" w:after="80" w:line="276" w:lineRule="auto"/>
      </w:pPr>
      <w:r/>
      <w:r>
        <w:rPr>
          <w:i/>
        </w:rPr>
        <w:t>One-Class Support Vector Machine</w:t>
      </w:r>
      <w:r>
        <w:t xml:space="preserve"> (OC-SVM) (Schölkopf et al., 2001) adalah metode </w:t>
      </w:r>
      <w:r>
        <w:rPr>
          <w:i/>
        </w:rPr>
        <w:t>unsupervised novelty detection</w:t>
      </w:r>
      <w:r>
        <w:t xml:space="preserve"> yang dirancang untuk mempelajari pembatas (</w:t>
      </w:r>
      <w:r>
        <w:rPr>
          <w:i/>
        </w:rPr>
        <w:t>boundary</w:t>
      </w:r>
      <w:r>
        <w:t>) ketat yang melingkupi distribusi populasi data normal.</w:t>
      </w:r>
    </w:p>
    <w:p>
      <w:pPr>
        <w:spacing w:before="40" w:after="80" w:line="276" w:lineRule="auto"/>
      </w:pPr>
      <w:r>
        <w:t xml:space="preserve">Algoritma ini memetakan data fitur makroekonomi ke ruang fitur Hilbert berdimensi tinggi melalui fungsi transformasi non-linear </w:t>
      </w:r>
      <w:r>
        <w:rPr>
          <w:rFonts w:ascii="Cambria Math" w:hAnsi="Cambria Math"/>
          <w:i/>
        </w:rPr>
        <w:t>\Phi(x)</w:t>
      </w:r>
      <w:r>
        <w:t xml:space="preserve"> dan mengkonstruksi </w:t>
      </w:r>
      <w:r>
        <w:rPr>
          <w:i/>
        </w:rPr>
        <w:t>hyperplane</w:t>
      </w:r>
      <w:r>
        <w:t xml:space="preserve"> pemisah berjarak maksimum dari titik asal (</w:t>
      </w:r>
      <w:r>
        <w:rPr>
          <w:i/>
        </w:rPr>
        <w:t>origin</w:t>
      </w:r>
      <w:r>
        <w:t>):</w:t>
      </w:r>
    </w:p>
    <w:p>
      <w:pPr>
        <w:spacing w:before="40" w:after="80" w:line="276" w:lineRule="auto"/>
      </w:pPr>
      <w:r/>
      <w:r>
        <w:rPr>
          <w:rFonts w:ascii="Cambria Math" w:hAnsi="Cambria Math"/>
          <w:i/>
        </w:rPr>
      </w:r>
      <w:r>
        <w:t>\min_{w, \xi, \rho} \frac{1}{2} ||w||^2 + \frac{1}{\nu n} \sum_{i=1}^{n} \xi_i - \rho</w:t>
      </w:r>
      <w:r>
        <w:rPr>
          <w:rFonts w:ascii="Cambria Math" w:hAnsi="Cambria Math"/>
          <w:i/>
        </w:rPr>
      </w:r>
      <w:r/>
    </w:p>
    <w:p>
      <w:pPr>
        <w:spacing w:before="40" w:after="80" w:line="276" w:lineRule="auto"/>
      </w:pPr>
      <w:r>
        <w:t>Dengan kendala:</w:t>
      </w:r>
    </w:p>
    <w:p>
      <w:pPr>
        <w:spacing w:before="40" w:after="80" w:line="276" w:lineRule="auto"/>
      </w:pPr>
      <w:r/>
      <w:r>
        <w:rPr>
          <w:rFonts w:ascii="Cambria Math" w:hAnsi="Cambria Math"/>
          <w:i/>
        </w:rPr>
      </w:r>
      <w:r>
        <w:t>\langle w, \Phi(x_i) \rangle \ge \rho - \xi_i, \quad \xi_i \ge 0, \quad \forall i = 1, \dots, n</w:t>
      </w:r>
      <w:r>
        <w:rPr>
          <w:rFonts w:ascii="Cambria Math" w:hAnsi="Cambria Math"/>
          <w:i/>
        </w:rPr>
      </w:r>
      <w:r/>
    </w:p>
    <w:p>
      <w:pPr>
        <w:spacing w:before="80" w:after="160"/>
        <w:ind w:left="288" w:right="288"/>
      </w:pPr>
      <w:r>
        <w:rPr>
          <w:rFonts w:ascii="Consolas" w:hAnsi="Consolas"/>
          <w:color w:val="333333"/>
          <w:sz w:val="19"/>
        </w:rPr>
        <w:t xml:space="preserve">       Ruang Fitur Hilbert Berdimensi Tinggi Φ(x)</w:t>
        <w:br/>
        <w:t xml:space="preserve">       ┌──────────────────────────────────────┐</w:t>
        <w:br/>
        <w:t xml:space="preserve">       │                                      │</w:t>
        <w:br/>
        <w:t xml:space="preserve">       │   o   o   o  (Data Normal)          │</w:t>
        <w:br/>
        <w:t xml:space="preserve">       │     o   o  o                         │</w:t>
        <w:br/>
        <w:t xml:space="preserve">       │   o   o   o                          │</w:t>
        <w:br/>
        <w:t xml:space="preserve">       │────────────── Boundary / Hyperplane  │</w:t>
        <w:br/>
        <w:t xml:space="preserve">       │               w · Φ(x) - ρ = 0       │</w:t>
        <w:br/>
        <w:t xml:space="preserve">       │                                      │</w:t>
        <w:br/>
        <w:t xml:space="preserve">       │   * Anomali Krisis (Outlier)         │</w:t>
        <w:br/>
        <w:t xml:space="preserve">       │                                      │</w:t>
        <w:br/>
        <w:t xml:space="preserve">       │   O (Origin / Titik Asal)            │</w:t>
        <w:br/>
        <w:t xml:space="preserve">       └──────────────────────────────────────┘</w:t>
      </w:r>
    </w:p>
    <w:p>
      <w:pPr>
        <w:keepNext/>
        <w:spacing w:before="200" w:after="80"/>
      </w:pPr>
      <w:r>
        <w:rPr>
          <w:rFonts w:ascii="Calibri" w:hAnsi="Calibri"/>
          <w:b/>
          <w:color w:val="333333"/>
          <w:sz w:val="24"/>
        </w:rPr>
        <w:t>2.2 Peran Kernel RBF &amp; Hyperparameter ($\nu, \gamma$)</w:t>
      </w:r>
    </w:p>
    <w:p>
      <w:pPr>
        <w:spacing w:before="40" w:after="80" w:line="276" w:lineRule="auto"/>
      </w:pPr>
      <w:r>
        <w:t xml:space="preserve">Fungsi kernel </w:t>
      </w:r>
      <w:r>
        <w:rPr>
          <w:i/>
        </w:rPr>
        <w:t>Radial Basis Function</w:t>
      </w:r>
      <w:r>
        <w:t xml:space="preserve"> (RBF) menangani korelasi kompleks non-linear antar variabel ekonomi:</w:t>
      </w:r>
    </w:p>
    <w:p>
      <w:pPr>
        <w:spacing w:before="40" w:after="80" w:line="276" w:lineRule="auto"/>
      </w:pPr>
      <w:r/>
      <w:r>
        <w:rPr>
          <w:rFonts w:ascii="Cambria Math" w:hAnsi="Cambria Math"/>
          <w:i/>
        </w:rPr>
      </w:r>
      <w:r>
        <w:t>K(x, y) = \exp\left(-\gamma ||x - y||^2\right)</w:t>
      </w:r>
      <w:r>
        <w:rPr>
          <w:rFonts w:ascii="Cambria Math" w:hAnsi="Cambria Math"/>
          <w:i/>
        </w:rPr>
      </w:r>
      <w:r/>
    </w:p>
    <w:p>
      <w:pPr>
        <w:pStyle w:val="ListBullet"/>
        <w:spacing w:before="20" w:after="40"/>
      </w:pPr>
      <w:r/>
      <w:r>
        <w:rPr>
          <w:b/>
        </w:rPr>
        <w:t>$\nu$ (nu)</w:t>
      </w:r>
      <w:r>
        <w:t>: Menentukan batas atas proporsi *training errors* (anomali) dan batas bawah jumlah *support vectors*. Pada dataset ini, nilai $\nu = 0.25$ memberikan sensitivitas optimal untuk mendeteksi potensi krisis.</w:t>
      </w:r>
    </w:p>
    <w:p>
      <w:pPr>
        <w:pStyle w:val="ListBullet"/>
        <w:spacing w:before="20" w:after="40"/>
      </w:pPr>
      <w:r/>
      <w:r>
        <w:rPr>
          <w:b/>
        </w:rPr>
        <w:t>$\gamma$ (gamma)</w:t>
      </w:r>
      <w:r>
        <w:t>: Menentukan jangkauan pengaruh dari satu contoh pelatihan. Nilai $\gamma = 0.5$ menghasilkan kontur pembatas non-linear yang responsif terhadap penyimpangan makroekonomi lokal.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rFonts w:ascii="Calibri" w:hAnsi="Calibri"/>
          <w:b/>
          <w:color w:val="2E5B88"/>
          <w:sz w:val="28"/>
        </w:rPr>
        <w:t>3. Spesifikasi Dataset &amp; Pipeline Preprocessing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none"/>
          <w:bottom w:val="single" w:sz="6" w:space="0" w:color="1F4E78"/>
          <w:right w:val="none"/>
          <w:insideH w:val="single" w:sz="4" w:space="0" w:color="D3D3D3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Langkah Pipeline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Metodologis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Hasil Eksplorasi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**Pemuatan Data**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Penggabungan `raw_data_master.csv` &amp; `ground_truth_imf.csv`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1.715 observasi (49 negara × 35 tahun, 1990–2024)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**Ground Truth**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Variabel `is_crisis` diselaraskan sebagai `crisis_label`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229 observasi krisis (prevalensi 13.35%)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**Pengurutan Data**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Sorted by `['economy', 'year']`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Menjaga kontinuitas deret waktu per negara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**Transformasi Exchange Rate**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$Exchange\_Depreciation_{i,t} = \frac{Ex_{i,t} - Ex_{i,t-1}}{Ex_{i,t-1}} \times 100$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Mengeliminasi bias skala nominal mata uang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**Imputasi Multi-tahap**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1. `interpolate(method='linear', limit_direction='both')`&lt;br&gt;2. Median per negara&lt;br&gt;3. `KNNImputer(n_neighbors=5)`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 Missing Value**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**Penskalaan**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`StandardScaler()` pada 14 indikator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Mean $\approx 0$, Variance $= 1$</w:t>
            </w:r>
          </w:p>
        </w:tc>
      </w:tr>
    </w:tbl>
    <w:p/>
    <w:p>
      <w:pPr>
        <w:keepNext/>
        <w:spacing w:before="200" w:after="80"/>
      </w:pPr>
      <w:r>
        <w:rPr>
          <w:rFonts w:ascii="Calibri" w:hAnsi="Calibri"/>
          <w:b/>
          <w:color w:val="333333"/>
          <w:sz w:val="24"/>
        </w:rPr>
        <w:t>14 Indikator Makroekonomi Preprocessed:</w:t>
      </w:r>
    </w:p>
    <w:p>
      <w:pPr>
        <w:pStyle w:val="ListNumber"/>
        <w:spacing w:before="20" w:after="40"/>
      </w:pPr>
      <w:r>
        <w:t>`GDP_Growth` — Pertumbuhan PDB riil (%)</w:t>
      </w:r>
    </w:p>
    <w:p>
      <w:pPr>
        <w:pStyle w:val="ListNumber"/>
        <w:spacing w:before="20" w:after="40"/>
      </w:pPr>
      <w:r>
        <w:t>`Inflation_CPI` — Inflasi berdasarkan CPI (%)</w:t>
      </w:r>
    </w:p>
    <w:p>
      <w:pPr>
        <w:pStyle w:val="ListNumber"/>
        <w:spacing w:before="20" w:after="40"/>
      </w:pPr>
      <w:r>
        <w:t>`Unemployment` — Tingkat pengangguran (%)</w:t>
      </w:r>
    </w:p>
    <w:p>
      <w:pPr>
        <w:pStyle w:val="ListNumber"/>
        <w:spacing w:before="20" w:after="40"/>
      </w:pPr>
      <w:r>
        <w:t>`Current_Account_GDP` — Neraca transaksi berjalan terhadap PDB (%)</w:t>
      </w:r>
    </w:p>
    <w:p>
      <w:pPr>
        <w:pStyle w:val="ListNumber"/>
        <w:spacing w:before="20" w:after="40"/>
      </w:pPr>
      <w:r>
        <w:t>`Reserves_Months_Imports` — Cadangan devisa dalam bulan impor</w:t>
      </w:r>
    </w:p>
    <w:p>
      <w:pPr>
        <w:pStyle w:val="ListNumber"/>
        <w:spacing w:before="20" w:after="40"/>
      </w:pPr>
      <w:r>
        <w:t>`Exchange_Depreciation` — Depresiasi nilai tukar tahunan (%)</w:t>
      </w:r>
    </w:p>
    <w:p>
      <w:pPr>
        <w:pStyle w:val="ListNumber"/>
        <w:spacing w:before="20" w:after="40"/>
      </w:pPr>
      <w:r>
        <w:t>`FDI_Inflows_GDP` — FDI masuk terhadap PDB (%)</w:t>
      </w:r>
    </w:p>
    <w:p>
      <w:pPr>
        <w:pStyle w:val="ListNumber"/>
        <w:spacing w:before="20" w:after="40"/>
      </w:pPr>
      <w:r>
        <w:t>`Exports_GDP` — Rasio ekspor terhadap PDB (%)</w:t>
      </w:r>
    </w:p>
    <w:p>
      <w:pPr>
        <w:pStyle w:val="ListNumber"/>
        <w:spacing w:before="20" w:after="40"/>
      </w:pPr>
      <w:r>
        <w:t>`Imports_GDP` — Rasio impor terhadap PDB (%)</w:t>
      </w:r>
    </w:p>
    <w:p>
      <w:pPr>
        <w:pStyle w:val="ListNumber"/>
        <w:spacing w:before="20" w:after="40"/>
      </w:pPr>
      <w:r>
        <w:t>`Gross_Savings_GDP` — Tabungan bruto terhadap PDB (%)</w:t>
      </w:r>
    </w:p>
    <w:p>
      <w:pPr>
        <w:pStyle w:val="ListNumber"/>
        <w:spacing w:before="20" w:after="40"/>
      </w:pPr>
      <w:r>
        <w:t>`Investment_GDP` — Pembentukan modal tetap/PDB (%)</w:t>
      </w:r>
    </w:p>
    <w:p>
      <w:pPr>
        <w:pStyle w:val="ListNumber"/>
        <w:spacing w:before="20" w:after="40"/>
      </w:pPr>
      <w:r>
        <w:t>`Manufacturing_Value` — Kontribusi manufaktur/PDB (%)</w:t>
      </w:r>
    </w:p>
    <w:p>
      <w:pPr>
        <w:pStyle w:val="ListNumber"/>
        <w:spacing w:before="20" w:after="40"/>
      </w:pPr>
      <w:r>
        <w:t>`Domestic_Credit_GDP` — Kredit domestik terhadap PDB (%)</w:t>
      </w:r>
    </w:p>
    <w:p>
      <w:pPr>
        <w:pStyle w:val="ListNumber"/>
        <w:spacing w:before="20" w:after="40"/>
      </w:pPr>
      <w:r>
        <w:t>`Broad_Money_Growth` — Pertumbuhan uang beredar / M2 (%)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rFonts w:ascii="Calibri" w:hAnsi="Calibri"/>
          <w:b/>
          <w:color w:val="2E5B88"/>
          <w:sz w:val="28"/>
        </w:rPr>
        <w:t>4. Hasil Tuning Grid Search Hyperparameter</w:t>
      </w:r>
    </w:p>
    <w:p>
      <w:pPr>
        <w:spacing w:before="40" w:after="80" w:line="276" w:lineRule="auto"/>
      </w:pPr>
      <w:r>
        <w:t>Pencarian grid dilakukan pada 64 kombinasi hyperparameter: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none"/>
          <w:bottom w:val="single" w:sz="6" w:space="0" w:color="1F4E78"/>
          <w:right w:val="none"/>
          <w:insideH w:val="single" w:sz="4" w:space="0" w:color="D3D3D3"/>
          <w:insideV w:val="none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nu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gamma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Anomali Terdeteksi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% Anomali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ROC-AUC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PR-AUC</w:t>
            </w:r>
          </w:p>
        </w:tc>
      </w:tr>
      <w:tr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**1**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**0.2500**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**0.5**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**443**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**25.83%**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**0.2641**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**0.5109**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**0.3482**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**0.6858**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**0.2781**</w:t>
            </w:r>
          </w:p>
        </w:tc>
      </w:tr>
      <w:tr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0.2000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0.5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377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21.98%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0.2573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0.4236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0.3201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0.6809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0.2684</w:t>
            </w:r>
          </w:p>
        </w:tc>
      </w:tr>
      <w:tr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3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0.2500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0.1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431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25.13%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0.2367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0.4454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0.3091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0.6493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0.2218</w:t>
            </w:r>
          </w:p>
        </w:tc>
      </w:tr>
      <w:tr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4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0.2000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0.1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343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20.00%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0.2536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0.3799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0.3042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0.6467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0.2259</w:t>
            </w:r>
          </w:p>
        </w:tc>
      </w:tr>
      <w:tr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5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0.1000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0.5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299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17.43%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0.2676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0.3493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0.3030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0.6775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0.2333</w:t>
            </w:r>
          </w:p>
        </w:tc>
      </w:tr>
      <w:tr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6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0.1335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0.5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320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18.66%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0.2594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0.3624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0.3024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0.6775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0.2575</w:t>
            </w:r>
          </w:p>
        </w:tc>
      </w:tr>
      <w:tr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7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0.2500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auto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427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24.90%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0.2295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0.4279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0.2988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0.6445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0.2139</w:t>
            </w:r>
          </w:p>
        </w:tc>
      </w:tr>
      <w:tr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8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0.2500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scale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427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24.90%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0.2295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0.4279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0.2988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0.6445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0.2139</w:t>
            </w:r>
          </w:p>
        </w:tc>
      </w:tr>
      <w:tr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9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0.2500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0.01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430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25.07%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0.2256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0.4236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0.2944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0.6330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0.2002</w:t>
            </w:r>
          </w:p>
        </w:tc>
      </w:tr>
      <w:tr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10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0.2500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0.001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429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25.01%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0.2238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0.4192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0.2918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0.6303</w:t>
            </w:r>
          </w:p>
        </w:tc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0.1993</w:t>
            </w:r>
          </w:p>
        </w:tc>
      </w:tr>
    </w:tbl>
    <w:p/>
    <w:p>
      <w:pPr>
        <w:spacing w:before="40" w:after="80" w:line="276" w:lineRule="auto"/>
      </w:pPr>
      <w:r/>
      <w:r>
        <w:rPr>
          <w:b/>
        </w:rPr>
        <w:t>Analisis Konfigurasi:</w:t>
      </w:r>
      <w:r/>
    </w:p>
    <w:p>
      <w:pPr>
        <w:pStyle w:val="ListBullet"/>
        <w:spacing w:before="20" w:after="40"/>
      </w:pPr>
      <w:r>
        <w:t xml:space="preserve">Kombinasi </w:t>
      </w:r>
      <w:r>
        <w:rPr>
          <w:b/>
        </w:rPr>
        <w:t>$\nu = 0.25$ dan $\gamma = 0.5$</w:t>
      </w:r>
      <w:r>
        <w:t xml:space="preserve"> mengungguli seluruh kombinasi lain dengan </w:t>
      </w:r>
      <w:r>
        <w:rPr>
          <w:b/>
        </w:rPr>
        <w:t>F1-Score 0.3482</w:t>
      </w:r>
      <w:r>
        <w:t xml:space="preserve">, </w:t>
      </w:r>
      <w:r>
        <w:rPr>
          <w:b/>
        </w:rPr>
        <w:t>Recall 51.09%</w:t>
      </w:r>
      <w:r>
        <w:t xml:space="preserve">, dan </w:t>
      </w:r>
      <w:r>
        <w:rPr>
          <w:b/>
        </w:rPr>
        <w:t>ROC-AUC 0.6858</w:t>
      </w:r>
      <w:r>
        <w:t>.</w:t>
      </w:r>
    </w:p>
    <w:p>
      <w:pPr>
        <w:pStyle w:val="ListBullet"/>
        <w:spacing w:before="20" w:after="40"/>
      </w:pPr>
      <w:r>
        <w:t>Nilai $\gamma = 0.5$ terbukti sangat efektif menangkap penyimpangan fitur ter-standardisasi secara lebih tajam dibandingkan RBF linear/lemah ($\gamma=0.001$).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rFonts w:ascii="Calibri" w:hAnsi="Calibri"/>
          <w:b/>
          <w:color w:val="2E5B88"/>
          <w:sz w:val="28"/>
        </w:rPr>
        <w:t>5. Evaluasi Performa Model Terbaik ($\nu=0.25, \gamma=0.5$)</w:t>
      </w:r>
    </w:p>
    <w:p>
      <w:pPr>
        <w:keepNext/>
        <w:spacing w:before="200" w:after="80"/>
      </w:pPr>
      <w:r>
        <w:rPr>
          <w:rFonts w:ascii="Calibri" w:hAnsi="Calibri"/>
          <w:b/>
          <w:color w:val="333333"/>
          <w:sz w:val="24"/>
        </w:rPr>
        <w:t>5.1 Classification Report &amp; Metrik Utama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none"/>
          <w:bottom w:val="single" w:sz="6" w:space="0" w:color="1F4E78"/>
          <w:right w:val="none"/>
          <w:insideH w:val="single" w:sz="4" w:space="0" w:color="D3D3D3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Metrik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Nilai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Evaluasi Teknis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**Precision**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0.2641 (26.4%)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26.4% dari sinyal anomali terdeteksi merupakan krisis aktual.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**Recall**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0.5109 (51.1%)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**Mendeteksi lebih dari separuh (51.1%) seluruh episode krisis historis.**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**F1-Score**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0.3482 (34.8%)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Keseimbangan harmonik terbaik untuk EWS.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**ROC-AUC**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0.6858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Performa area ROC tertinggi (diskriminasi sangat baik).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**PR-AUC**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0.2781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Jauh melampaui baseline imbalanced (13.35%).</w:t>
            </w:r>
          </w:p>
        </w:tc>
      </w:tr>
    </w:tbl>
    <w:p/>
    <w:p>
      <w:pPr>
        <w:keepNext/>
        <w:spacing w:before="200" w:after="80"/>
      </w:pPr>
      <w:r>
        <w:rPr>
          <w:rFonts w:ascii="Calibri" w:hAnsi="Calibri"/>
          <w:b/>
          <w:color w:val="333333"/>
          <w:sz w:val="24"/>
        </w:rPr>
        <w:t>5.2 Confusion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none"/>
          <w:bottom w:val="single" w:sz="6" w:space="0" w:color="1F4E78"/>
          <w:right w:val="none"/>
          <w:insideH w:val="single" w:sz="4" w:space="0" w:color="D3D3D3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**Prediksi: Normal (0)**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**Prediksi: Anomali (1)**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**Total**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**Aktual: Normal (0)**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**TN = 1.160** (78.1%)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**FP = 326** (21.9%)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1.486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**Aktual: Krisis (1)**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**FN = 112** (48.9%)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**TP = 117** (51.1%)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229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**Total**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1.272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443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1.715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rFonts w:ascii="Calibri" w:hAnsi="Calibri"/>
          <w:b/>
          <w:color w:val="2E5B88"/>
          <w:sz w:val="28"/>
        </w:rPr>
        <w:t>6. Evaluasi Deteksi per Krisis Historis (Ground Truth IMF)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none"/>
          <w:bottom w:val="single" w:sz="6" w:space="0" w:color="1F4E78"/>
          <w:right w:val="none"/>
          <w:insideH w:val="single" w:sz="4" w:space="0" w:color="D3D3D3"/>
          <w:insideV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Krisis Historis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Tahun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Wilayah / Negara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Terdeteksi (TP)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Detection Rate (%)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🌏 **Krisis Keuangan Asia**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1997–1998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IDN, THA, MYS, KOR, PHL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7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**70.0%**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🦠 **Pandemi COVID-19**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2020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Global (49 negara)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49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34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**69.4%**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🇪🇺 **Krisis Utang Eropa**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2010–2012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GRC, PRT, IRL, ESP, ITA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15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9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**60.0%**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🌍 **Global Financial Crisis**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2008–2009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Global (49 negara)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98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38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**38.8%**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🇷🇺 **Krisis Rusia**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1998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Rusia (RUS)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**100.0%**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🇦🇷 **Krisis Argentina**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2001–2002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Argentina (ARG)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**100.0%**</w:t>
            </w:r>
          </w:p>
        </w:tc>
      </w:tr>
    </w:tbl>
    <w:p/>
    <w:p>
      <w:pPr>
        <w:spacing w:before="80" w:after="160"/>
        <w:ind w:left="288" w:right="288"/>
      </w:pPr>
      <w:r>
        <w:rPr>
          <w:rFonts w:ascii="Consolas" w:hAnsi="Consolas"/>
          <w:color w:val="333333"/>
          <w:sz w:val="19"/>
        </w:rPr>
        <w:t>Krisis Asia 1997-98          ███████████████████████████████████████      70.0% (7/10)</w:t>
        <w:br/>
        <w:t>Pandemi COVID-19 2020        █████████████████████████████████████        69.4% (34/49)</w:t>
        <w:br/>
        <w:t>Krisis Utang Eropa 2010-12   ██████████████████████████████              60.0% (9/15)</w:t>
        <w:br/>
        <w:t>Global Financial Crisis      █████████████████                            38.8% (38/98)</w:t>
        <w:br/>
        <w:t>Krisis Rusia 1998            ████████████████████████████████████████████ 100.0% (1/1)</w:t>
        <w:br/>
        <w:t>Krisis Argentina 2001-02     ████████████████████████████████████████████ 100.0% (2/2)</w:t>
      </w:r>
    </w:p>
    <w:p>
      <w:pPr>
        <w:keepNext/>
        <w:spacing w:before="200" w:after="80"/>
      </w:pPr>
      <w:r>
        <w:rPr>
          <w:rFonts w:ascii="Calibri" w:hAnsi="Calibri"/>
          <w:b/>
          <w:color w:val="333333"/>
          <w:sz w:val="24"/>
        </w:rPr>
        <w:t>Analisis Kunci:</w:t>
      </w:r>
    </w:p>
    <w:p>
      <w:pPr>
        <w:pStyle w:val="ListBullet"/>
        <w:spacing w:before="20" w:after="40"/>
      </w:pPr>
      <w:r/>
      <w:r>
        <w:rPr>
          <w:b/>
        </w:rPr>
        <w:t>Krisis Asia 1997-98 (70.0%):</w:t>
      </w:r>
      <w:r>
        <w:t xml:space="preserve"> Berkat penambahan variabel `Exchange_Depreciation` dan `Broad_Money_Growth`, OC-SVM berhasil mendeteksi devaluasi Baht, Rupiah, dan Won secara jauh lebih presisi dibanding model awal (meningkat dari 50% ke 70%).</w:t>
      </w:r>
    </w:p>
    <w:p>
      <w:pPr>
        <w:pStyle w:val="ListBullet"/>
        <w:spacing w:before="20" w:after="40"/>
      </w:pPr>
      <w:r/>
      <w:r>
        <w:rPr>
          <w:b/>
        </w:rPr>
        <w:t>Krisis Utang Eropa (60.0%):</w:t>
      </w:r>
      <w:r>
        <w:t xml:space="preserve"> Memotret gejolak kredit domestik dan transaksi berjalan di Yunani, Irlandia, dan Portugal.</w:t>
      </w:r>
    </w:p>
    <w:p>
      <w:pPr>
        <w:pStyle w:val="ListBullet"/>
        <w:spacing w:before="20" w:after="40"/>
      </w:pPr>
      <w:r/>
      <w:r>
        <w:rPr>
          <w:b/>
        </w:rPr>
        <w:t>Pandemi COVID-19 (69.4%):</w:t>
      </w:r>
      <w:r>
        <w:t xml:space="preserve"> Berhasil menangkap kontraksi serentak PDB dan lonjakan depresiasi di 34 negara.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rFonts w:ascii="Calibri" w:hAnsi="Calibri"/>
          <w:b/>
          <w:color w:val="2E5B88"/>
          <w:sz w:val="28"/>
        </w:rPr>
        <w:t>7. Profil Geografis — Top 10 Negara Anomali Terbanyak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none"/>
          <w:bottom w:val="single" w:sz="6" w:space="0" w:color="1F4E78"/>
          <w:right w:val="none"/>
          <w:insideH w:val="single" w:sz="4" w:space="0" w:color="D3D3D3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Negara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Kode ISO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Jumlah Tahun Anomali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Profil &amp; Alasan Terisolasi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Irlandia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IRL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31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Volatilitas ekspor-impor finansial multinasional tinggi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Arab Saudi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SAU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23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Ketergantungan migas &amp; fluktuasi cadangan devisa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3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Hongaria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HUN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21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Fluktuasi transaksi berjalan &amp; modal investasi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4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Singapura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SGP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21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Ekonomi sangat terbuka (Trade/GDP &gt; 300%)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5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Swiss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CHE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19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Fluktuasi nilai tukar Franc Swiss &amp; arus modal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6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Nigeria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NGA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16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Volatilitas harga minyak &amp; depresiasi Naira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7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Rusia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RUS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16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Krisis 1998, sanksi ekonomi, &amp; volatilitas Rubel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8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Tiongkok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CHN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15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Laju pertumbuhan PDB masif &amp; dinamika ekspor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9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Malaysia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MYS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14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Krisis 1997-98 &amp; fluktuasi harga komoditas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Belanda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NLD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14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Pusat hub perdagangan terbuka Eropa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rFonts w:ascii="Calibri" w:hAnsi="Calibri"/>
          <w:b/>
          <w:color w:val="2E5B88"/>
          <w:sz w:val="28"/>
        </w:rPr>
        <w:t>8. Feature Importance (Mean Difference Z-Score)</w:t>
      </w:r>
    </w:p>
    <w:p>
      <w:pPr>
        <w:spacing w:before="40" w:after="80" w:line="276" w:lineRule="auto"/>
      </w:pPr>
      <w:r>
        <w:t>Sensitivitas fitur dihitung berdasarkan selisih mutlak rata-rata skor Z-Score antara sampel Anomali vs Normal: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none"/>
          <w:bottom w:val="single" w:sz="6" w:space="0" w:color="1F4E78"/>
          <w:right w:val="none"/>
          <w:insideH w:val="single" w:sz="4" w:space="0" w:color="D3D3D3"/>
          <w:insideV w:val="non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Makroekonomi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Mean Normal (Z)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Mean Anomali (Z)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Selisih Mutlak (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Diff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)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`Exports_GDP`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-0.1463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+0.4201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**0.5663**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`Imports_GDP`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-0.1325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+0.3806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**0.5131**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`Gross_Savings_GDP`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-0.1032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+0.2965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**0.3997**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4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`Current_Account_GDP`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-0.0875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+0.2512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**0.3386**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5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`FDI_Inflows_GDP`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-0.0842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+0.2417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**0.3259**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6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`Reserves_Months_Imports`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-0.0796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+0.2285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**0.3081**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7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`Exchange_Depreciation`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-0.0735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+0.2110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**0.2845**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8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`Manufacturing_Value`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-0.0734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+0.2107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**0.2841**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9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`Inflation_CPI`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-0.0625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+0.1795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**0.2420**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`GDP_Growth`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+0.0580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-0.1664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**0.2244**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`Broad_Money_Growth`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-0.0535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+0.1535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**0.2070**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`Investment_GDP`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-0.0492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+0.1412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**0.1903**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`Domestic_Credit_GDP`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-0.0185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+0.0532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**0.0717**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14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`Unemployment`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-0.0089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+0.0256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**0.0346**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rFonts w:ascii="Calibri" w:hAnsi="Calibri"/>
          <w:b/>
          <w:color w:val="2E5B88"/>
          <w:sz w:val="28"/>
        </w:rPr>
        <w:t>9. Kesimpulan &amp; Rekomendasi EWS</w:t>
      </w:r>
    </w:p>
    <w:p>
      <w:pPr>
        <w:pStyle w:val="ListNumber"/>
        <w:spacing w:before="20" w:after="40"/>
      </w:pPr>
      <w:r>
        <w:t xml:space="preserve">Pembaruan preprocessing dengan </w:t>
      </w:r>
      <w:r>
        <w:rPr>
          <w:b/>
        </w:rPr>
        <w:t>transformasi `% Exchange_Depreciation`</w:t>
      </w:r>
      <w:r>
        <w:t xml:space="preserve"> dan </w:t>
      </w:r>
      <w:r>
        <w:rPr>
          <w:b/>
        </w:rPr>
        <w:t>imputasi linear + KNN</w:t>
      </w:r>
      <w:r>
        <w:t xml:space="preserve"> terbukti meningkatkan daya deteksi krisis (*Recall*) OC-SVM secara signifikan menjadi </w:t>
      </w:r>
      <w:r>
        <w:rPr>
          <w:b/>
        </w:rPr>
        <w:t>51.09%</w:t>
      </w:r>
      <w:r>
        <w:t xml:space="preserve"> dan ROC-AUC menjadi </w:t>
      </w:r>
      <w:r>
        <w:rPr>
          <w:b/>
        </w:rPr>
        <w:t>0.6858</w:t>
      </w:r>
      <w:r>
        <w:t>.</w:t>
      </w:r>
    </w:p>
    <w:p>
      <w:pPr>
        <w:pStyle w:val="ListNumber"/>
        <w:spacing w:before="20" w:after="40"/>
      </w:pPr>
      <w:r>
        <w:t xml:space="preserve">Krisis regional tajam seperti </w:t>
      </w:r>
      <w:r>
        <w:rPr>
          <w:b/>
        </w:rPr>
        <w:t>Krisis Keuangan Asia (70.0%)</w:t>
      </w:r>
      <w:r>
        <w:t xml:space="preserve"> dan </w:t>
      </w:r>
      <w:r>
        <w:rPr>
          <w:b/>
        </w:rPr>
        <w:t>Krisis Utang Eropa (60.0%)</w:t>
      </w:r>
      <w:r>
        <w:t xml:space="preserve"> terbukti jauh lebih sukses terdeteksi setelah penghapusan bias skala nominal kurs.</w:t>
      </w:r>
    </w:p>
    <w:p>
      <w:pPr>
        <w:pStyle w:val="ListNumber"/>
        <w:spacing w:before="20" w:after="40"/>
      </w:pPr>
      <w:r>
        <w:t xml:space="preserve">OC-SVM direkomendasikan menjadi salah satu arsitektur utama dalam konsensus </w:t>
      </w:r>
      <w:r>
        <w:rPr>
          <w:b/>
        </w:rPr>
        <w:t>Majority Voting (≥ 3 dari 6 model)</w:t>
      </w:r>
      <w:r>
        <w:t xml:space="preserve"> EWS kelompok.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rFonts w:ascii="Calibri" w:hAnsi="Calibri"/>
          <w:b/>
          <w:color w:val="2E5B88"/>
          <w:sz w:val="28"/>
        </w:rPr>
        <w:t>10. Daftar Berkas Output</w:t>
      </w:r>
    </w:p>
    <w:p>
      <w:pPr>
        <w:spacing w:before="40" w:after="80" w:line="276" w:lineRule="auto"/>
      </w:pPr>
      <w:r>
        <w:t>Seluruh file hasil eksekusi pemodelan di folder [Virna](file:///e:/SEMESTER%206/DATMIN/Project%20UTS/ANALISIS-DETEKSI-ANOMALI-MAKROEKONOMI/Virna):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none"/>
          <w:bottom w:val="single" w:sz="6" w:space="0" w:color="1F4E78"/>
          <w:right w:val="none"/>
          <w:insideH w:val="single" w:sz="4" w:space="0" w:color="D3D3D3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Nama File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Berkas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[ocsvm.ipynb](file:///e:/SEMESTER%206/DATMIN/Project%20UTS/ANALISIS-DETEKSI-ANOMALI-MAKROEKONOMI/Virna/ocsvm.ipynb)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Jupyter Notebook interaktif lengkap dengan kode preprocessing &amp; OCSVM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[run_ocsvm.py](file:///e:/SEMESTER%206/DATMIN/Project%20UTS/ANALISIS-DETEKSI-ANOMALI-MAKROEKONOMI/Virna/run_ocsvm.py)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Script eksekusi Python mandiri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[data_cleaned_virna.csv](file:///e:/SEMESTER%206/DATMIN/Project%20UTS/ANALISIS-DETEKSI-ANOMALI-MAKROEKONOMI/Virna/data_cleaned_virna.csv)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Dataset bersih hasil preprocessing akhir (1.715 baris)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[hasil_ocsvm.csv](file:///e:/SEMESTER%206/DATMIN/Project%20UTS/ANALISIS-DETEKSI-ANOMALI-MAKROEKONOMI/Virna/hasil_ocsvm.csv)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Output deteksi OCSVM (`ocsvm_score` + `ocsvm_anomaly`)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[grid_search_ocsvm.csv](file:///e:/SEMESTER%206/DATMIN/Project%20UTS/ANALISIS-DETEKSI-ANOMALI-MAKROEKONOMI/Virna/grid_search_ocsvm.csv)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Hasil pencarian 64 kombinasi grid search `nu` &amp; `gamma`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[ringkasan_model_ocsvm.csv](file:///e:/SEMESTER%206/DATMIN/Project%20UTS/ANALISIS-DETEKSI-ANOMALI-MAKROEKONOMI/Virna/ringkasan_model_ocsvm.csv)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Ringkasan metrik evaluasi model terbaik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[deteksi_per_krisis_ocsvm.csv](file:///e:/SEMESTER%206/DATMIN/Project%20UTS/ANALISIS-DETEKSI-ANOMALI-MAKROEKONOMI/Virna/deteksi_per_krisis_ocsvm.csv)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Tingkat deteksi 6 krisis historis IMF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[top_negara_anomali_ocsvm.csv](file:///e:/SEMESTER%206/DATMIN/Project%20UTS/ANALISIS-DETEKSI-ANOMALI-MAKROEKONOMI/Virna/top_negara_anomali_ocsvm.csv)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Top 10 negara frekuensi anomali terbanyak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[feature_importance_ocsvm.csv](file:///e:/SEMESTER%206/DATMIN/Project%20UTS/ANALISIS-DETEKSI-ANOMALI-MAKROEKONOMI/Virna/feature_importance_ocsvm.csv)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262626"/>
                <w:sz w:val="20"/>
              </w:rPr>
              <w:t>Peringkat kontribusi 14 indikator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spacing w:before="40" w:after="80" w:line="276" w:lineRule="auto"/>
      </w:pPr>
      <w:r/>
      <w:r>
        <w:rPr>
          <w:i/>
        </w:rPr>
        <w:t>Laporan Akademik Pembaruan — UTS Data Mining 2026.</w:t>
      </w:r>
      <w:r/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