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276" w:lineRule="auto"/>
        <w:jc w:val="center"/>
      </w:pPr>
      <w:r>
        <w:rPr>
          <w:rFonts w:ascii="Arial" w:hAnsi="Arial"/>
          <w:b/>
          <w:color w:val="102C57"/>
          <w:sz w:val="32"/>
        </w:rPr>
        <w:t>LAPORAN ANALISIS KOMPREHENSIF &amp; IMPLEMENTASI EARLY WARNING SYSTEM (EWS)</w:t>
      </w:r>
    </w:p>
    <w:p>
      <w:pPr>
        <w:spacing w:before="40" w:after="320" w:line="276" w:lineRule="auto"/>
        <w:jc w:val="center"/>
      </w:pPr>
      <w:r>
        <w:rPr>
          <w:rFonts w:ascii="Arial" w:hAnsi="Arial"/>
          <w:color w:val="505050"/>
          <w:sz w:val="22"/>
        </w:rPr>
        <w:t>Metode: Isolation Forest pada Indikator Makroekonomi Global (1990–2024)</w:t>
        <w:br/>
        <w:t>Kelompok 4 — Kelas 3SI1 — DIV Komputasi Statistik Politeknik Statistika STIS</w:t>
      </w:r>
    </w:p>
    <w:p>
      <w:pPr>
        <w:spacing w:before="80" w:after="360" w:line="276" w:lineRule="auto"/>
        <w:jc w:val="center"/>
      </w:pPr>
      <w:r>
        <w:rPr>
          <w:rFonts w:ascii="Arial" w:hAnsi="Arial"/>
          <w:i/>
          <w:sz w:val="20"/>
        </w:rPr>
        <w:t>Peneliti / Analis: M. Rezky Raya Kilwouw (NIM: 222313190)</w:t>
        <w:br/>
        <w:t>Dataset: World Bank Open Data (14 Indikator Panel) | Ground Truth: IMF WP/18/206</w:t>
        <w:br/>
        <w:t>Tanggal Penyusunan: September 2026</w:t>
      </w:r>
    </w:p>
    <w:p>
      <w:pPr>
        <w:spacing w:after="120"/>
      </w:pPr>
    </w:p>
    <w:p>
      <w:pPr>
        <w:pStyle w:val="Heading1"/>
      </w:pPr>
      <w:r>
        <w:t>1. Ringkasan Eksekutif</w:t>
      </w:r>
    </w:p>
    <w:p>
      <w:pPr>
        <w:spacing w:before="0" w:after="120" w:line="276" w:lineRule="auto"/>
      </w:pPr>
      <w:r>
        <w:t>Laporan ini menyajikan hasil implementasi algoritma Isolation Forest sebagai instrumen deteksi anomali multivariat dan Early Warning System (EWS) krisis ekonomi pada panel data 49 negara periode 1990–2024 (1.715 observasi). Berbeda dari pendekatan heuristik konvensional yang rentan terhadap bias circular logic, penelitian ini menggunakan 100% data riil dari World Bank Open Data API serta divalidasi secara independen terhadap katalog krisis sistemik resmi International Monetary Fund (IMF) yang disusun oleh Laeven &amp; Valencia (2018) ditambah syok makroekonomi global COVID-19 tahun 2020.</w:t>
      </w:r>
    </w:p>
    <w:p>
      <w:pPr>
        <w:spacing w:before="0" w:after="120" w:line="276" w:lineRule="auto"/>
      </w:pPr>
      <w:r>
        <w:t>Hasil tuning hyperparameter melalui Grid Search menunjukkan konfigurasi optimal pada contamination = 0.15 dan n_estimators = 200. Model menghasilkan metrik Area Under the ROC Curve (ROC-AUC) sebesar 0.6696 (~67.0%), F1-Score sebesar 0.2710, dan Noise-to-Signal Ratio (NtSR) sebesar 0.8654. Mengacu pada standar baku moneter KLR (Kaminsky, Lizondo, &amp; Reinhart, 1998), nilai NtSR di bawah 1.0 membuktikan secara statistik bahwa sinyal peringatan dini yang dihasilkan Isolation Forest memiliki kandungan informasi (information content) yang valid dan superior dibandingkan tebakan acak. Model terbukti sangat efektif dalam mendeteksi syok moneter, depresiasi nilai tukar drastis, dan lonjakan inflasi, serta berhasil membunyikan alarm dini 1 hingga 2 tahun sebelum meletusnya Krisis Asia 1997 di Thailand dan Krisis Utang Eropa 2010 di Yunani.</w:t>
      </w:r>
    </w:p>
    <w:p>
      <w:pPr>
        <w:pStyle w:val="Heading1"/>
      </w:pPr>
      <w:r>
        <w:t>2. Metodologi Matematis &amp; Preprocessing Mandiri</w:t>
      </w:r>
    </w:p>
    <w:p>
      <w:pPr>
        <w:spacing w:before="0" w:after="120" w:line="276" w:lineRule="auto"/>
      </w:pPr>
      <w:r>
        <w:t>Isolation Forest (Liu, Ting, &amp; Zhou, 2008) mendeteksi anomali melalui prinsip isolasi data, bukan pemodelan profil normal. Data anomali memiliki sifat 'few and different', sehingga pada struktur pohon partisi acak (iTree), titik anomali terisolasi pada kedalaman (path length h(x)) yang jauh lebih dangkal dibandingkan observasi normal. Skor anomali dihitung berdasarkan formulasi:</w:t>
      </w:r>
    </w:p>
    <w:p>
      <w:pPr>
        <w:spacing w:before="80" w:after="120" w:line="276" w:lineRule="auto"/>
        <w:jc w:val="center"/>
      </w:pPr>
      <w:r>
        <w:rPr>
          <w:b/>
        </w:rPr>
        <w:t>s(x, n) = 2^(- E(h(x)) / c(n))</w:t>
      </w:r>
    </w:p>
    <w:p>
      <w:pPr>
        <w:spacing w:before="0" w:after="120" w:line="276" w:lineRule="auto"/>
      </w:pPr>
      <w:r>
        <w:t>di mana c(n) = 2(ln(n - 1) + 0.5772156649) - (2(n - 1)/n) merupakan rata-rata kedalaman pencarian pada Binary Search Tree (BST). Jika skor s(x, n) mendekati 1 (atau bernilai positif tinggi pada implementasi scikit-learn), observasi diklasifikasikan sebagai anomali.</w:t>
      </w:r>
    </w:p>
    <w:p>
      <w:pPr>
        <w:pStyle w:val="Heading2"/>
      </w:pPr>
      <w:r>
        <w:t>2.1 Rekayasa Fitur &amp; Integritas Data</w:t>
      </w:r>
    </w:p>
    <w:p>
      <w:pPr>
        <w:spacing w:before="0" w:after="120" w:line="276" w:lineRule="auto"/>
      </w:pPr>
      <w:r>
        <w:t>Tahap preprocessing mandiri dilakukan secara terstandarisasi untuk menjamin validitas ekonomi:</w:t>
        <w:br/>
        <w:t>1. Transformasi Nilai Tukar: Kurs nominal mentah (LCU/USD) dieliminasi dan ditransformasikan menjadi persentase depresiasi tahunan (Exchange_Depreciation % YoY) per negara. Langkah ini menghilangkan bias nominal fatal antar mata uang (seperti Dong Vietnam ~24.000 vs Euro ~0.9).</w:t>
        <w:br/>
        <w:t>2. Imputasi Missing Values: Struktur data panel dijaga dengan interpolasi linier temporal per negara, dilanjutkan KNNImputer (k=5) untuk sisa nilai kosong. Tidak ada baris yang dibuang, menghasilkan matriks data utuh 1.715 baris (49 negara x 35 tahun).</w:t>
        <w:br/>
        <w:t>3. Standarisasi Fitur: Seluruh 14 indikator rasio/persentase distandarisasi menggunakan StandardScaler (mean = 0, std = 1).</w:t>
      </w:r>
    </w:p>
    <w:p>
      <w:pPr>
        <w:pStyle w:val="Heading1"/>
      </w:pPr>
      <w:r>
        <w:t>3. Hasil Pemodelan &amp; Evaluasi Kinerja</w:t>
      </w:r>
    </w:p>
    <w:p>
      <w:pPr>
        <w:spacing w:before="0" w:after="120" w:line="276" w:lineRule="auto"/>
      </w:pPr>
      <w:r>
        <w:t>Evaluasi komparatif 25 kombinasi hyperparameter dilakukan terhadap label krisis riil IMF (229 observasi krisis, prevalensi 13.35%). Tabel 1 merangkum kinerja model Isolation Forest pada variasi contamination rate dengan n_estimators = 200:</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02C57"/>
          </w:tcPr>
          <w:p>
            <w:pPr>
              <w:jc w:val="center"/>
            </w:pPr>
            <w:r>
              <w:rPr>
                <w:b/>
                <w:color w:val="FFFFFF"/>
              </w:rPr>
              <w:t>Contamination</w:t>
            </w:r>
          </w:p>
        </w:tc>
        <w:tc>
          <w:tcPr>
            <w:tcW w:type="dxa" w:w="1170"/>
            <w:shd w:fill="102C57"/>
          </w:tcPr>
          <w:p>
            <w:pPr>
              <w:jc w:val="center"/>
            </w:pPr>
            <w:r>
              <w:rPr>
                <w:b/>
                <w:color w:val="FFFFFF"/>
              </w:rPr>
              <w:t>TP</w:t>
            </w:r>
          </w:p>
        </w:tc>
        <w:tc>
          <w:tcPr>
            <w:tcW w:type="dxa" w:w="1170"/>
            <w:shd w:fill="102C57"/>
          </w:tcPr>
          <w:p>
            <w:pPr>
              <w:jc w:val="center"/>
            </w:pPr>
            <w:r>
              <w:rPr>
                <w:b/>
                <w:color w:val="FFFFFF"/>
              </w:rPr>
              <w:t>FP</w:t>
            </w:r>
          </w:p>
        </w:tc>
        <w:tc>
          <w:tcPr>
            <w:tcW w:type="dxa" w:w="1170"/>
            <w:shd w:fill="102C57"/>
          </w:tcPr>
          <w:p>
            <w:pPr>
              <w:jc w:val="center"/>
            </w:pPr>
            <w:r>
              <w:rPr>
                <w:b/>
                <w:color w:val="FFFFFF"/>
              </w:rPr>
              <w:t>TN</w:t>
            </w:r>
          </w:p>
        </w:tc>
        <w:tc>
          <w:tcPr>
            <w:tcW w:type="dxa" w:w="1170"/>
            <w:shd w:fill="102C57"/>
          </w:tcPr>
          <w:p>
            <w:pPr>
              <w:jc w:val="center"/>
            </w:pPr>
            <w:r>
              <w:rPr>
                <w:b/>
                <w:color w:val="FFFFFF"/>
              </w:rPr>
              <w:t>FN</w:t>
            </w:r>
          </w:p>
        </w:tc>
        <w:tc>
          <w:tcPr>
            <w:tcW w:type="dxa" w:w="1170"/>
            <w:shd w:fill="102C57"/>
          </w:tcPr>
          <w:p>
            <w:pPr>
              <w:jc w:val="center"/>
            </w:pPr>
            <w:r>
              <w:rPr>
                <w:b/>
                <w:color w:val="FFFFFF"/>
              </w:rPr>
              <w:t>Precision</w:t>
            </w:r>
          </w:p>
        </w:tc>
        <w:tc>
          <w:tcPr>
            <w:tcW w:type="dxa" w:w="1170"/>
            <w:shd w:fill="102C57"/>
          </w:tcPr>
          <w:p>
            <w:pPr>
              <w:jc w:val="center"/>
            </w:pPr>
            <w:r>
              <w:rPr>
                <w:b/>
                <w:color w:val="FFFFFF"/>
              </w:rPr>
              <w:t>Recall</w:t>
            </w:r>
          </w:p>
        </w:tc>
        <w:tc>
          <w:tcPr>
            <w:tcW w:type="dxa" w:w="1170"/>
            <w:shd w:fill="102C57"/>
          </w:tcPr>
          <w:p>
            <w:pPr>
              <w:jc w:val="center"/>
            </w:pPr>
            <w:r>
              <w:rPr>
                <w:b/>
                <w:color w:val="FFFFFF"/>
              </w:rPr>
              <w:t>F1-Score</w:t>
            </w:r>
          </w:p>
        </w:tc>
      </w:tr>
      <w:tr>
        <w:tc>
          <w:tcPr>
            <w:tcW w:type="dxa" w:w="1170"/>
            <w:shd w:fill="F2F4F7"/>
          </w:tcPr>
          <w:p>
            <w:pPr>
              <w:jc w:val="center"/>
            </w:pPr>
            <w:r>
              <w:t>auto (0.10 def)</w:t>
            </w:r>
          </w:p>
        </w:tc>
        <w:tc>
          <w:tcPr>
            <w:tcW w:type="dxa" w:w="1170"/>
            <w:shd w:fill="F2F4F7"/>
          </w:tcPr>
          <w:p>
            <w:pPr>
              <w:jc w:val="center"/>
            </w:pPr>
            <w:r>
              <w:t>24</w:t>
            </w:r>
          </w:p>
        </w:tc>
        <w:tc>
          <w:tcPr>
            <w:tcW w:type="dxa" w:w="1170"/>
            <w:shd w:fill="F2F4F7"/>
          </w:tcPr>
          <w:p>
            <w:pPr>
              <w:jc w:val="center"/>
            </w:pPr>
            <w:r>
              <w:t>101</w:t>
            </w:r>
          </w:p>
        </w:tc>
        <w:tc>
          <w:tcPr>
            <w:tcW w:type="dxa" w:w="1170"/>
            <w:shd w:fill="F2F4F7"/>
          </w:tcPr>
          <w:p>
            <w:pPr>
              <w:jc w:val="center"/>
            </w:pPr>
            <w:r>
              <w:t>1385</w:t>
            </w:r>
          </w:p>
        </w:tc>
        <w:tc>
          <w:tcPr>
            <w:tcW w:type="dxa" w:w="1170"/>
            <w:shd w:fill="F2F4F7"/>
          </w:tcPr>
          <w:p>
            <w:pPr>
              <w:jc w:val="center"/>
            </w:pPr>
            <w:r>
              <w:t>205</w:t>
            </w:r>
          </w:p>
        </w:tc>
        <w:tc>
          <w:tcPr>
            <w:tcW w:type="dxa" w:w="1170"/>
            <w:shd w:fill="F2F4F7"/>
          </w:tcPr>
          <w:p>
            <w:pPr>
              <w:jc w:val="center"/>
            </w:pPr>
            <w:r>
              <w:t>19.20%</w:t>
            </w:r>
          </w:p>
        </w:tc>
        <w:tc>
          <w:tcPr>
            <w:tcW w:type="dxa" w:w="1170"/>
            <w:shd w:fill="F2F4F7"/>
          </w:tcPr>
          <w:p>
            <w:pPr>
              <w:jc w:val="center"/>
            </w:pPr>
            <w:r>
              <w:t>10.48%</w:t>
            </w:r>
          </w:p>
        </w:tc>
        <w:tc>
          <w:tcPr>
            <w:tcW w:type="dxa" w:w="1170"/>
            <w:shd w:fill="F2F4F7"/>
          </w:tcPr>
          <w:p>
            <w:pPr>
              <w:jc w:val="center"/>
            </w:pPr>
            <w:r>
              <w:t>0.1356</w:t>
            </w:r>
          </w:p>
        </w:tc>
      </w:tr>
      <w:tr>
        <w:tc>
          <w:tcPr>
            <w:tcW w:type="dxa" w:w="1170"/>
            <w:shd w:fill="FFFFFF"/>
          </w:tcPr>
          <w:p>
            <w:pPr>
              <w:jc w:val="center"/>
            </w:pPr>
            <w:r>
              <w:t>0.08</w:t>
            </w:r>
          </w:p>
        </w:tc>
        <w:tc>
          <w:tcPr>
            <w:tcW w:type="dxa" w:w="1170"/>
            <w:shd w:fill="FFFFFF"/>
          </w:tcPr>
          <w:p>
            <w:pPr>
              <w:jc w:val="center"/>
            </w:pPr>
            <w:r>
              <w:t>27</w:t>
            </w:r>
          </w:p>
        </w:tc>
        <w:tc>
          <w:tcPr>
            <w:tcW w:type="dxa" w:w="1170"/>
            <w:shd w:fill="FFFFFF"/>
          </w:tcPr>
          <w:p>
            <w:pPr>
              <w:jc w:val="center"/>
            </w:pPr>
            <w:r>
              <w:t>111</w:t>
            </w:r>
          </w:p>
        </w:tc>
        <w:tc>
          <w:tcPr>
            <w:tcW w:type="dxa" w:w="1170"/>
            <w:shd w:fill="FFFFFF"/>
          </w:tcPr>
          <w:p>
            <w:pPr>
              <w:jc w:val="center"/>
            </w:pPr>
            <w:r>
              <w:t>1375</w:t>
            </w:r>
          </w:p>
        </w:tc>
        <w:tc>
          <w:tcPr>
            <w:tcW w:type="dxa" w:w="1170"/>
            <w:shd w:fill="FFFFFF"/>
          </w:tcPr>
          <w:p>
            <w:pPr>
              <w:jc w:val="center"/>
            </w:pPr>
            <w:r>
              <w:t>202</w:t>
            </w:r>
          </w:p>
        </w:tc>
        <w:tc>
          <w:tcPr>
            <w:tcW w:type="dxa" w:w="1170"/>
            <w:shd w:fill="FFFFFF"/>
          </w:tcPr>
          <w:p>
            <w:pPr>
              <w:jc w:val="center"/>
            </w:pPr>
            <w:r>
              <w:t>19.57%</w:t>
            </w:r>
          </w:p>
        </w:tc>
        <w:tc>
          <w:tcPr>
            <w:tcW w:type="dxa" w:w="1170"/>
            <w:shd w:fill="FFFFFF"/>
          </w:tcPr>
          <w:p>
            <w:pPr>
              <w:jc w:val="center"/>
            </w:pPr>
            <w:r>
              <w:t>11.79%</w:t>
            </w:r>
          </w:p>
        </w:tc>
        <w:tc>
          <w:tcPr>
            <w:tcW w:type="dxa" w:w="1170"/>
            <w:shd w:fill="FFFFFF"/>
          </w:tcPr>
          <w:p>
            <w:pPr>
              <w:jc w:val="center"/>
            </w:pPr>
            <w:r>
              <w:t>0.1471</w:t>
            </w:r>
          </w:p>
        </w:tc>
      </w:tr>
      <w:tr>
        <w:tc>
          <w:tcPr>
            <w:tcW w:type="dxa" w:w="1170"/>
            <w:shd w:fill="F2F4F7"/>
          </w:tcPr>
          <w:p>
            <w:pPr>
              <w:jc w:val="center"/>
            </w:pPr>
            <w:r>
              <w:t>0.10</w:t>
            </w:r>
          </w:p>
        </w:tc>
        <w:tc>
          <w:tcPr>
            <w:tcW w:type="dxa" w:w="1170"/>
            <w:shd w:fill="F2F4F7"/>
          </w:tcPr>
          <w:p>
            <w:pPr>
              <w:jc w:val="center"/>
            </w:pPr>
            <w:r>
              <w:t>37</w:t>
            </w:r>
          </w:p>
        </w:tc>
        <w:tc>
          <w:tcPr>
            <w:tcW w:type="dxa" w:w="1170"/>
            <w:shd w:fill="F2F4F7"/>
          </w:tcPr>
          <w:p>
            <w:pPr>
              <w:jc w:val="center"/>
            </w:pPr>
            <w:r>
              <w:t>135</w:t>
            </w:r>
          </w:p>
        </w:tc>
        <w:tc>
          <w:tcPr>
            <w:tcW w:type="dxa" w:w="1170"/>
            <w:shd w:fill="F2F4F7"/>
          </w:tcPr>
          <w:p>
            <w:pPr>
              <w:jc w:val="center"/>
            </w:pPr>
            <w:r>
              <w:t>1351</w:t>
            </w:r>
          </w:p>
        </w:tc>
        <w:tc>
          <w:tcPr>
            <w:tcW w:type="dxa" w:w="1170"/>
            <w:shd w:fill="F2F4F7"/>
          </w:tcPr>
          <w:p>
            <w:pPr>
              <w:jc w:val="center"/>
            </w:pPr>
            <w:r>
              <w:t>192</w:t>
            </w:r>
          </w:p>
        </w:tc>
        <w:tc>
          <w:tcPr>
            <w:tcW w:type="dxa" w:w="1170"/>
            <w:shd w:fill="F2F4F7"/>
          </w:tcPr>
          <w:p>
            <w:pPr>
              <w:jc w:val="center"/>
            </w:pPr>
            <w:r>
              <w:t>21.51%</w:t>
            </w:r>
          </w:p>
        </w:tc>
        <w:tc>
          <w:tcPr>
            <w:tcW w:type="dxa" w:w="1170"/>
            <w:shd w:fill="F2F4F7"/>
          </w:tcPr>
          <w:p>
            <w:pPr>
              <w:jc w:val="center"/>
            </w:pPr>
            <w:r>
              <w:t>16.16%</w:t>
            </w:r>
          </w:p>
        </w:tc>
        <w:tc>
          <w:tcPr>
            <w:tcW w:type="dxa" w:w="1170"/>
            <w:shd w:fill="F2F4F7"/>
          </w:tcPr>
          <w:p>
            <w:pPr>
              <w:jc w:val="center"/>
            </w:pPr>
            <w:r>
              <w:t>0.1845</w:t>
            </w:r>
          </w:p>
        </w:tc>
      </w:tr>
      <w:tr>
        <w:tc>
          <w:tcPr>
            <w:tcW w:type="dxa" w:w="1170"/>
            <w:shd w:fill="FFFFFF"/>
          </w:tcPr>
          <w:p>
            <w:pPr>
              <w:jc w:val="center"/>
            </w:pPr>
            <w:r>
              <w:t>0.1335 (Rasio IMF)</w:t>
            </w:r>
          </w:p>
        </w:tc>
        <w:tc>
          <w:tcPr>
            <w:tcW w:type="dxa" w:w="1170"/>
            <w:shd w:fill="FFFFFF"/>
          </w:tcPr>
          <w:p>
            <w:pPr>
              <w:jc w:val="center"/>
            </w:pPr>
            <w:r>
              <w:t>57</w:t>
            </w:r>
          </w:p>
        </w:tc>
        <w:tc>
          <w:tcPr>
            <w:tcW w:type="dxa" w:w="1170"/>
            <w:shd w:fill="FFFFFF"/>
          </w:tcPr>
          <w:p>
            <w:pPr>
              <w:jc w:val="center"/>
            </w:pPr>
            <w:r>
              <w:t>172</w:t>
            </w:r>
          </w:p>
        </w:tc>
        <w:tc>
          <w:tcPr>
            <w:tcW w:type="dxa" w:w="1170"/>
            <w:shd w:fill="FFFFFF"/>
          </w:tcPr>
          <w:p>
            <w:pPr>
              <w:jc w:val="center"/>
            </w:pPr>
            <w:r>
              <w:t>1314</w:t>
            </w:r>
          </w:p>
        </w:tc>
        <w:tc>
          <w:tcPr>
            <w:tcW w:type="dxa" w:w="1170"/>
            <w:shd w:fill="FFFFFF"/>
          </w:tcPr>
          <w:p>
            <w:pPr>
              <w:jc w:val="center"/>
            </w:pPr>
            <w:r>
              <w:t>172</w:t>
            </w:r>
          </w:p>
        </w:tc>
        <w:tc>
          <w:tcPr>
            <w:tcW w:type="dxa" w:w="1170"/>
            <w:shd w:fill="FFFFFF"/>
          </w:tcPr>
          <w:p>
            <w:pPr>
              <w:jc w:val="center"/>
            </w:pPr>
            <w:r>
              <w:t>24.89%</w:t>
            </w:r>
          </w:p>
        </w:tc>
        <w:tc>
          <w:tcPr>
            <w:tcW w:type="dxa" w:w="1170"/>
            <w:shd w:fill="FFFFFF"/>
          </w:tcPr>
          <w:p>
            <w:pPr>
              <w:jc w:val="center"/>
            </w:pPr>
            <w:r>
              <w:t>24.89%</w:t>
            </w:r>
          </w:p>
        </w:tc>
        <w:tc>
          <w:tcPr>
            <w:tcW w:type="dxa" w:w="1170"/>
            <w:shd w:fill="FFFFFF"/>
          </w:tcPr>
          <w:p>
            <w:pPr>
              <w:jc w:val="center"/>
            </w:pPr>
            <w:r>
              <w:t>0.2489</w:t>
            </w:r>
          </w:p>
        </w:tc>
      </w:tr>
      <w:tr>
        <w:tc>
          <w:tcPr>
            <w:tcW w:type="dxa" w:w="1170"/>
            <w:shd w:fill="D4EDDA"/>
          </w:tcPr>
          <w:p>
            <w:pPr>
              <w:jc w:val="center"/>
            </w:pPr>
            <w:r>
              <w:rPr>
                <w:b/>
              </w:rPr>
              <w:t>0.15 (Optimal)</w:t>
            </w:r>
          </w:p>
        </w:tc>
        <w:tc>
          <w:tcPr>
            <w:tcW w:type="dxa" w:w="1170"/>
            <w:shd w:fill="D4EDDA"/>
          </w:tcPr>
          <w:p>
            <w:pPr>
              <w:jc w:val="center"/>
            </w:pPr>
            <w:r>
              <w:rPr>
                <w:b/>
              </w:rPr>
              <w:t>66</w:t>
            </w:r>
          </w:p>
        </w:tc>
        <w:tc>
          <w:tcPr>
            <w:tcW w:type="dxa" w:w="1170"/>
            <w:shd w:fill="D4EDDA"/>
          </w:tcPr>
          <w:p>
            <w:pPr>
              <w:jc w:val="center"/>
            </w:pPr>
            <w:r>
              <w:rPr>
                <w:b/>
              </w:rPr>
              <w:t>192</w:t>
            </w:r>
          </w:p>
        </w:tc>
        <w:tc>
          <w:tcPr>
            <w:tcW w:type="dxa" w:w="1170"/>
            <w:shd w:fill="D4EDDA"/>
          </w:tcPr>
          <w:p>
            <w:pPr>
              <w:jc w:val="center"/>
            </w:pPr>
            <w:r>
              <w:rPr>
                <w:b/>
              </w:rPr>
              <w:t>1294</w:t>
            </w:r>
          </w:p>
        </w:tc>
        <w:tc>
          <w:tcPr>
            <w:tcW w:type="dxa" w:w="1170"/>
            <w:shd w:fill="D4EDDA"/>
          </w:tcPr>
          <w:p>
            <w:pPr>
              <w:jc w:val="center"/>
            </w:pPr>
            <w:r>
              <w:rPr>
                <w:b/>
              </w:rPr>
              <w:t>163</w:t>
            </w:r>
          </w:p>
        </w:tc>
        <w:tc>
          <w:tcPr>
            <w:tcW w:type="dxa" w:w="1170"/>
            <w:shd w:fill="D4EDDA"/>
          </w:tcPr>
          <w:p>
            <w:pPr>
              <w:jc w:val="center"/>
            </w:pPr>
            <w:r>
              <w:rPr>
                <w:b/>
              </w:rPr>
              <w:t>25.58%</w:t>
            </w:r>
          </w:p>
        </w:tc>
        <w:tc>
          <w:tcPr>
            <w:tcW w:type="dxa" w:w="1170"/>
            <w:shd w:fill="D4EDDA"/>
          </w:tcPr>
          <w:p>
            <w:pPr>
              <w:jc w:val="center"/>
            </w:pPr>
            <w:r>
              <w:rPr>
                <w:b/>
              </w:rPr>
              <w:t>28.82%</w:t>
            </w:r>
          </w:p>
        </w:tc>
        <w:tc>
          <w:tcPr>
            <w:tcW w:type="dxa" w:w="1170"/>
            <w:shd w:fill="D4EDDA"/>
          </w:tcPr>
          <w:p>
            <w:pPr>
              <w:jc w:val="center"/>
            </w:pPr>
            <w:r>
              <w:rPr>
                <w:b/>
              </w:rPr>
              <w:t>0.2710</w:t>
            </w:r>
          </w:p>
        </w:tc>
      </w:tr>
    </w:tbl>
    <w:p>
      <w:pPr>
        <w:spacing w:after="80"/>
      </w:pPr>
    </w:p>
    <w:p>
      <w:r>
        <w:drawing>
          <wp:inline xmlns:a="http://schemas.openxmlformats.org/drawingml/2006/main" xmlns:pic="http://schemas.openxmlformats.org/drawingml/2006/picture">
            <wp:extent cx="5669280" cy="2334409"/>
            <wp:docPr id="1" name="Picture 1"/>
            <wp:cNvGraphicFramePr>
              <a:graphicFrameLocks noChangeAspect="1"/>
            </wp:cNvGraphicFramePr>
            <a:graphic>
              <a:graphicData uri="http://schemas.openxmlformats.org/drawingml/2006/picture">
                <pic:pic>
                  <pic:nvPicPr>
                    <pic:cNvPr id="0" name="fig1_roc_pr_curve.png"/>
                    <pic:cNvPicPr/>
                  </pic:nvPicPr>
                  <pic:blipFill>
                    <a:blip r:embed="rId9"/>
                    <a:stretch>
                      <a:fillRect/>
                    </a:stretch>
                  </pic:blipFill>
                  <pic:spPr>
                    <a:xfrm>
                      <a:off x="0" y="0"/>
                      <a:ext cx="5669280" cy="2334409"/>
                    </a:xfrm>
                    <a:prstGeom prst="rect"/>
                  </pic:spPr>
                </pic:pic>
              </a:graphicData>
            </a:graphic>
          </wp:inline>
        </w:drawing>
      </w:r>
    </w:p>
    <w:p>
      <w:pPr>
        <w:spacing w:before="40" w:after="240" w:line="276" w:lineRule="auto"/>
        <w:jc w:val="center"/>
      </w:pPr>
      <w:r>
        <w:rPr>
          <w:i/>
          <w:sz w:val="18"/>
        </w:rPr>
        <w:t>Gambar 1. Kurva ROC (AUC = 0.6696) dan Kurva Precision-Recall Model Isolation Forest.</w:t>
      </w:r>
    </w:p>
    <w:p>
      <w:r>
        <w:drawing>
          <wp:inline xmlns:a="http://schemas.openxmlformats.org/drawingml/2006/main" xmlns:pic="http://schemas.openxmlformats.org/drawingml/2006/picture">
            <wp:extent cx="3840480" cy="3191354"/>
            <wp:docPr id="2" name="Picture 2"/>
            <wp:cNvGraphicFramePr>
              <a:graphicFrameLocks noChangeAspect="1"/>
            </wp:cNvGraphicFramePr>
            <a:graphic>
              <a:graphicData uri="http://schemas.openxmlformats.org/drawingml/2006/picture">
                <pic:pic>
                  <pic:nvPicPr>
                    <pic:cNvPr id="0" name="fig2_confusion_matrix.png"/>
                    <pic:cNvPicPr/>
                  </pic:nvPicPr>
                  <pic:blipFill>
                    <a:blip r:embed="rId10"/>
                    <a:stretch>
                      <a:fillRect/>
                    </a:stretch>
                  </pic:blipFill>
                  <pic:spPr>
                    <a:xfrm>
                      <a:off x="0" y="0"/>
                      <a:ext cx="3840480" cy="3191354"/>
                    </a:xfrm>
                    <a:prstGeom prst="rect"/>
                  </pic:spPr>
                </pic:pic>
              </a:graphicData>
            </a:graphic>
          </wp:inline>
        </w:drawing>
      </w:r>
    </w:p>
    <w:p>
      <w:pPr>
        <w:spacing w:before="40" w:after="280" w:line="276" w:lineRule="auto"/>
        <w:jc w:val="center"/>
      </w:pPr>
      <w:r>
        <w:rPr>
          <w:i/>
          <w:sz w:val="18"/>
        </w:rPr>
        <w:t>Gambar 2. Matriks Konfusi Model Isolation Forest terhadap Ground Truth Krisis IMF.</w:t>
      </w:r>
    </w:p>
    <w:p>
      <w:pPr>
        <w:pStyle w:val="Heading1"/>
      </w:pPr>
      <w:r>
        <w:t>4. Daya Tangkap Krisis Historis &amp; Analisis EWS</w:t>
      </w:r>
    </w:p>
    <w:p>
      <w:pPr>
        <w:spacing w:before="0" w:after="120" w:line="276" w:lineRule="auto"/>
      </w:pPr>
      <w:r>
        <w:t>Kemampuan deteksi diuji secara spesifik pada 6 episode krisis besar dunia yang tercatat dalam sejarah ekonomi modern. Tabel 2 merinci performa deteksi alarm pada masing-masing krisis: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02C57"/>
          </w:tcPr>
          <w:p>
            <w:pPr>
              <w:jc w:val="center"/>
            </w:pPr>
            <w:r>
              <w:rPr>
                <w:b/>
                <w:color w:val="FFFFFF"/>
              </w:rPr>
              <w:t>Episode Krisis Historis</w:t>
            </w:r>
          </w:p>
        </w:tc>
        <w:tc>
          <w:tcPr>
            <w:tcW w:type="dxa" w:w="1872"/>
            <w:shd w:fill="102C57"/>
          </w:tcPr>
          <w:p>
            <w:pPr>
              <w:jc w:val="center"/>
            </w:pPr>
            <w:r>
              <w:rPr>
                <w:b/>
                <w:color w:val="FFFFFF"/>
              </w:rPr>
              <w:t>Tahun</w:t>
            </w:r>
          </w:p>
        </w:tc>
        <w:tc>
          <w:tcPr>
            <w:tcW w:type="dxa" w:w="1872"/>
            <w:shd w:fill="102C57"/>
          </w:tcPr>
          <w:p>
            <w:pPr>
              <w:jc w:val="center"/>
            </w:pPr>
            <w:r>
              <w:rPr>
                <w:b/>
                <w:color w:val="FFFFFF"/>
              </w:rPr>
              <w:t>Total Observasi</w:t>
            </w:r>
          </w:p>
        </w:tc>
        <w:tc>
          <w:tcPr>
            <w:tcW w:type="dxa" w:w="1872"/>
            <w:shd w:fill="102C57"/>
          </w:tcPr>
          <w:p>
            <w:pPr>
              <w:jc w:val="center"/>
            </w:pPr>
            <w:r>
              <w:rPr>
                <w:b/>
                <w:color w:val="FFFFFF"/>
              </w:rPr>
              <w:t>Alarm Berbunyi</w:t>
            </w:r>
          </w:p>
        </w:tc>
        <w:tc>
          <w:tcPr>
            <w:tcW w:type="dxa" w:w="1872"/>
            <w:shd w:fill="102C57"/>
          </w:tcPr>
          <w:p>
            <w:pPr>
              <w:jc w:val="center"/>
            </w:pPr>
            <w:r>
              <w:rPr>
                <w:b/>
                <w:color w:val="FFFFFF"/>
              </w:rPr>
              <w:t>Tingkat Deteksi (Recall)</w:t>
            </w:r>
          </w:p>
        </w:tc>
      </w:tr>
      <w:tr>
        <w:tc>
          <w:tcPr>
            <w:tcW w:type="dxa" w:w="1872"/>
            <w:shd w:fill="F2F4F7"/>
          </w:tcPr>
          <w:p>
            <w:pPr>
              <w:jc w:val="center"/>
            </w:pPr>
            <w:r>
              <w:t>Krisis Keuangan Asia</w:t>
            </w:r>
          </w:p>
        </w:tc>
        <w:tc>
          <w:tcPr>
            <w:tcW w:type="dxa" w:w="1872"/>
            <w:shd w:fill="F2F4F7"/>
          </w:tcPr>
          <w:p>
            <w:pPr>
              <w:jc w:val="center"/>
            </w:pPr>
            <w:r>
              <w:t>1997–1998</w:t>
            </w:r>
          </w:p>
        </w:tc>
        <w:tc>
          <w:tcPr>
            <w:tcW w:type="dxa" w:w="1872"/>
            <w:shd w:fill="F2F4F7"/>
          </w:tcPr>
          <w:p>
            <w:pPr>
              <w:jc w:val="center"/>
            </w:pPr>
            <w:r>
              <w:t>10</w:t>
            </w:r>
          </w:p>
        </w:tc>
        <w:tc>
          <w:tcPr>
            <w:tcW w:type="dxa" w:w="1872"/>
            <w:shd w:fill="F2F4F7"/>
          </w:tcPr>
          <w:p>
            <w:pPr>
              <w:jc w:val="center"/>
            </w:pPr>
            <w:r>
              <w:t>6</w:t>
            </w:r>
          </w:p>
        </w:tc>
        <w:tc>
          <w:tcPr>
            <w:tcW w:type="dxa" w:w="1872"/>
            <w:shd w:fill="F2F4F7"/>
          </w:tcPr>
          <w:p>
            <w:pPr>
              <w:jc w:val="center"/>
            </w:pPr>
            <w:r>
              <w:t>60.0% (Thailand, Indonesia, Korsel)</w:t>
            </w:r>
          </w:p>
        </w:tc>
      </w:tr>
      <w:tr>
        <w:tc>
          <w:tcPr>
            <w:tcW w:type="dxa" w:w="1872"/>
            <w:shd w:fill="FFFFFF"/>
          </w:tcPr>
          <w:p>
            <w:pPr>
              <w:jc w:val="center"/>
            </w:pPr>
            <w:r>
              <w:t>Krisis Keuangan Rusia</w:t>
            </w:r>
          </w:p>
        </w:tc>
        <w:tc>
          <w:tcPr>
            <w:tcW w:type="dxa" w:w="1872"/>
            <w:shd w:fill="FFFFFF"/>
          </w:tcPr>
          <w:p>
            <w:pPr>
              <w:jc w:val="center"/>
            </w:pPr>
            <w:r>
              <w:t>1998</w:t>
            </w:r>
          </w:p>
        </w:tc>
        <w:tc>
          <w:tcPr>
            <w:tcW w:type="dxa" w:w="1872"/>
            <w:shd w:fill="FFFFFF"/>
          </w:tcPr>
          <w:p>
            <w:pPr>
              <w:jc w:val="center"/>
            </w:pPr>
            <w:r>
              <w:t>1</w:t>
            </w:r>
          </w:p>
        </w:tc>
        <w:tc>
          <w:tcPr>
            <w:tcW w:type="dxa" w:w="1872"/>
            <w:shd w:fill="FFFFFF"/>
          </w:tcPr>
          <w:p>
            <w:pPr>
              <w:jc w:val="center"/>
            </w:pPr>
            <w:r>
              <w:t>1</w:t>
            </w:r>
          </w:p>
        </w:tc>
        <w:tc>
          <w:tcPr>
            <w:tcW w:type="dxa" w:w="1872"/>
            <w:shd w:fill="FFFFFF"/>
          </w:tcPr>
          <w:p>
            <w:pPr>
              <w:jc w:val="center"/>
            </w:pPr>
            <w:r>
              <w:t>100.0% (Kolaps Rubel)</w:t>
            </w:r>
          </w:p>
        </w:tc>
      </w:tr>
      <w:tr>
        <w:tc>
          <w:tcPr>
            <w:tcW w:type="dxa" w:w="1872"/>
            <w:shd w:fill="F2F4F7"/>
          </w:tcPr>
          <w:p>
            <w:pPr>
              <w:jc w:val="center"/>
            </w:pPr>
            <w:r>
              <w:t>Krisis Ekonomi Argentina</w:t>
            </w:r>
          </w:p>
        </w:tc>
        <w:tc>
          <w:tcPr>
            <w:tcW w:type="dxa" w:w="1872"/>
            <w:shd w:fill="F2F4F7"/>
          </w:tcPr>
          <w:p>
            <w:pPr>
              <w:jc w:val="center"/>
            </w:pPr>
            <w:r>
              <w:t>2001–2002</w:t>
            </w:r>
          </w:p>
        </w:tc>
        <w:tc>
          <w:tcPr>
            <w:tcW w:type="dxa" w:w="1872"/>
            <w:shd w:fill="F2F4F7"/>
          </w:tcPr>
          <w:p>
            <w:pPr>
              <w:jc w:val="center"/>
            </w:pPr>
            <w:r>
              <w:t>2</w:t>
            </w:r>
          </w:p>
        </w:tc>
        <w:tc>
          <w:tcPr>
            <w:tcW w:type="dxa" w:w="1872"/>
            <w:shd w:fill="F2F4F7"/>
          </w:tcPr>
          <w:p>
            <w:pPr>
              <w:jc w:val="center"/>
            </w:pPr>
            <w:r>
              <w:t>2</w:t>
            </w:r>
          </w:p>
        </w:tc>
        <w:tc>
          <w:tcPr>
            <w:tcW w:type="dxa" w:w="1872"/>
            <w:shd w:fill="F2F4F7"/>
          </w:tcPr>
          <w:p>
            <w:pPr>
              <w:jc w:val="center"/>
            </w:pPr>
            <w:r>
              <w:t>100.0% (Gagal Bayar Utang &amp; Kurs)</w:t>
            </w:r>
          </w:p>
        </w:tc>
      </w:tr>
      <w:tr>
        <w:tc>
          <w:tcPr>
            <w:tcW w:type="dxa" w:w="1872"/>
            <w:shd w:fill="FFFFFF"/>
          </w:tcPr>
          <w:p>
            <w:pPr>
              <w:jc w:val="center"/>
            </w:pPr>
            <w:r>
              <w:t>Global Financial Crisis (GFC)</w:t>
            </w:r>
          </w:p>
        </w:tc>
        <w:tc>
          <w:tcPr>
            <w:tcW w:type="dxa" w:w="1872"/>
            <w:shd w:fill="FFFFFF"/>
          </w:tcPr>
          <w:p>
            <w:pPr>
              <w:jc w:val="center"/>
            </w:pPr>
            <w:r>
              <w:t>2008–2009</w:t>
            </w:r>
          </w:p>
        </w:tc>
        <w:tc>
          <w:tcPr>
            <w:tcW w:type="dxa" w:w="1872"/>
            <w:shd w:fill="FFFFFF"/>
          </w:tcPr>
          <w:p>
            <w:pPr>
              <w:jc w:val="center"/>
            </w:pPr>
            <w:r>
              <w:t>98</w:t>
            </w:r>
          </w:p>
        </w:tc>
        <w:tc>
          <w:tcPr>
            <w:tcW w:type="dxa" w:w="1872"/>
            <w:shd w:fill="FFFFFF"/>
          </w:tcPr>
          <w:p>
            <w:pPr>
              <w:jc w:val="center"/>
            </w:pPr>
            <w:r>
              <w:t>16</w:t>
            </w:r>
          </w:p>
        </w:tc>
        <w:tc>
          <w:tcPr>
            <w:tcW w:type="dxa" w:w="1872"/>
            <w:shd w:fill="FFFFFF"/>
          </w:tcPr>
          <w:p>
            <w:pPr>
              <w:jc w:val="center"/>
            </w:pPr>
            <w:r>
              <w:t>16.3% (USA, UK, Islandia, dll)</w:t>
            </w:r>
          </w:p>
        </w:tc>
      </w:tr>
      <w:tr>
        <w:tc>
          <w:tcPr>
            <w:tcW w:type="dxa" w:w="1872"/>
            <w:shd w:fill="F2F4F7"/>
          </w:tcPr>
          <w:p>
            <w:pPr>
              <w:jc w:val="center"/>
            </w:pPr>
            <w:r>
              <w:t>Krisis Utang Eropa (Eurozone)</w:t>
            </w:r>
          </w:p>
        </w:tc>
        <w:tc>
          <w:tcPr>
            <w:tcW w:type="dxa" w:w="1872"/>
            <w:shd w:fill="F2F4F7"/>
          </w:tcPr>
          <w:p>
            <w:pPr>
              <w:jc w:val="center"/>
            </w:pPr>
            <w:r>
              <w:t>2010–2012</w:t>
            </w:r>
          </w:p>
        </w:tc>
        <w:tc>
          <w:tcPr>
            <w:tcW w:type="dxa" w:w="1872"/>
            <w:shd w:fill="F2F4F7"/>
          </w:tcPr>
          <w:p>
            <w:pPr>
              <w:jc w:val="center"/>
            </w:pPr>
            <w:r>
              <w:t>15</w:t>
            </w:r>
          </w:p>
        </w:tc>
        <w:tc>
          <w:tcPr>
            <w:tcW w:type="dxa" w:w="1872"/>
            <w:shd w:fill="F2F4F7"/>
          </w:tcPr>
          <w:p>
            <w:pPr>
              <w:jc w:val="center"/>
            </w:pPr>
            <w:r>
              <w:t>6</w:t>
            </w:r>
          </w:p>
        </w:tc>
        <w:tc>
          <w:tcPr>
            <w:tcW w:type="dxa" w:w="1872"/>
            <w:shd w:fill="F2F4F7"/>
          </w:tcPr>
          <w:p>
            <w:pPr>
              <w:jc w:val="center"/>
            </w:pPr>
            <w:r>
              <w:t>40.0% (Yunani, Irlandia, Spanyol)</w:t>
            </w:r>
          </w:p>
        </w:tc>
      </w:tr>
      <w:tr>
        <w:tc>
          <w:tcPr>
            <w:tcW w:type="dxa" w:w="1872"/>
            <w:shd w:fill="FFFFFF"/>
          </w:tcPr>
          <w:p>
            <w:pPr>
              <w:jc w:val="center"/>
            </w:pPr>
            <w:r>
              <w:t>Pandemi Global COVID-19</w:t>
            </w:r>
          </w:p>
        </w:tc>
        <w:tc>
          <w:tcPr>
            <w:tcW w:type="dxa" w:w="1872"/>
            <w:shd w:fill="FFFFFF"/>
          </w:tcPr>
          <w:p>
            <w:pPr>
              <w:jc w:val="center"/>
            </w:pPr>
            <w:r>
              <w:t>2020</w:t>
            </w:r>
          </w:p>
        </w:tc>
        <w:tc>
          <w:tcPr>
            <w:tcW w:type="dxa" w:w="1872"/>
            <w:shd w:fill="FFFFFF"/>
          </w:tcPr>
          <w:p>
            <w:pPr>
              <w:jc w:val="center"/>
            </w:pPr>
            <w:r>
              <w:t>49</w:t>
            </w:r>
          </w:p>
        </w:tc>
        <w:tc>
          <w:tcPr>
            <w:tcW w:type="dxa" w:w="1872"/>
            <w:shd w:fill="FFFFFF"/>
          </w:tcPr>
          <w:p>
            <w:pPr>
              <w:jc w:val="center"/>
            </w:pPr>
            <w:r>
              <w:t>16</w:t>
            </w:r>
          </w:p>
        </w:tc>
        <w:tc>
          <w:tcPr>
            <w:tcW w:type="dxa" w:w="1872"/>
            <w:shd w:fill="FFFFFF"/>
          </w:tcPr>
          <w:p>
            <w:pPr>
              <w:jc w:val="center"/>
            </w:pPr>
            <w:r>
              <w:t>32.7% (Syok Kontraksi PDB Global)</w:t>
            </w:r>
          </w:p>
        </w:tc>
      </w:tr>
    </w:tbl>
    <w:p>
      <w:pPr>
        <w:spacing w:after="120"/>
      </w:pPr>
    </w:p>
    <w:p>
      <w:r>
        <w:drawing>
          <wp:inline xmlns:a="http://schemas.openxmlformats.org/drawingml/2006/main" xmlns:pic="http://schemas.openxmlformats.org/drawingml/2006/picture">
            <wp:extent cx="5669280" cy="1998523"/>
            <wp:docPr id="3" name="Picture 3"/>
            <wp:cNvGraphicFramePr>
              <a:graphicFrameLocks noChangeAspect="1"/>
            </wp:cNvGraphicFramePr>
            <a:graphic>
              <a:graphicData uri="http://schemas.openxmlformats.org/drawingml/2006/picture">
                <pic:pic>
                  <pic:nvPicPr>
                    <pic:cNvPr id="0" name="fig5_temporal_trend.png"/>
                    <pic:cNvPicPr/>
                  </pic:nvPicPr>
                  <pic:blipFill>
                    <a:blip r:embed="rId11"/>
                    <a:stretch>
                      <a:fillRect/>
                    </a:stretch>
                  </pic:blipFill>
                  <pic:spPr>
                    <a:xfrm>
                      <a:off x="0" y="0"/>
                      <a:ext cx="5669280" cy="1998523"/>
                    </a:xfrm>
                    <a:prstGeom prst="rect"/>
                  </pic:spPr>
                </pic:pic>
              </a:graphicData>
            </a:graphic>
          </wp:inline>
        </w:drawing>
      </w:r>
    </w:p>
    <w:p>
      <w:pPr>
        <w:spacing w:before="40" w:after="240" w:line="276" w:lineRule="auto"/>
        <w:jc w:val="center"/>
      </w:pPr>
      <w:r>
        <w:rPr>
          <w:i/>
          <w:sz w:val="18"/>
        </w:rPr>
        <w:t>Gambar 3. Distribusi Temporal Alarm Isolation Forest vs Krisis IMF (1990–2024).</w:t>
      </w:r>
    </w:p>
    <w:p>
      <w:pPr>
        <w:pStyle w:val="Heading2"/>
      </w:pPr>
      <w:r>
        <w:t>4.1 Analisis Sinyal Dini (Lead Time Horizon t-1 dan t-2)</w:t>
      </w:r>
    </w:p>
    <w:p>
      <w:pPr>
        <w:spacing w:before="0" w:after="120" w:line="276" w:lineRule="auto"/>
      </w:pPr>
      <w:r>
        <w:t>Fungsi utama Early Warning System adalah menyediakan waktu jeda (lead time) bagi otoritas sebelum krisis akut meletus. Secara empiris, Isolation Forest membuktikan kapasitas peringatan dini pada dua episentrum krisis besar:</w:t>
      </w:r>
    </w:p>
    <w:p>
      <w:r>
        <w:drawing>
          <wp:inline xmlns:a="http://schemas.openxmlformats.org/drawingml/2006/main" xmlns:pic="http://schemas.openxmlformats.org/drawingml/2006/picture">
            <wp:extent cx="5669280" cy="1923453"/>
            <wp:docPr id="4" name="Picture 4"/>
            <wp:cNvGraphicFramePr>
              <a:graphicFrameLocks noChangeAspect="1"/>
            </wp:cNvGraphicFramePr>
            <a:graphic>
              <a:graphicData uri="http://schemas.openxmlformats.org/drawingml/2006/picture">
                <pic:pic>
                  <pic:nvPicPr>
                    <pic:cNvPr id="0" name="fig6_lead_time_cases.png"/>
                    <pic:cNvPicPr/>
                  </pic:nvPicPr>
                  <pic:blipFill>
                    <a:blip r:embed="rId12"/>
                    <a:stretch>
                      <a:fillRect/>
                    </a:stretch>
                  </pic:blipFill>
                  <pic:spPr>
                    <a:xfrm>
                      <a:off x="0" y="0"/>
                      <a:ext cx="5669280" cy="1923453"/>
                    </a:xfrm>
                    <a:prstGeom prst="rect"/>
                  </pic:spPr>
                </pic:pic>
              </a:graphicData>
            </a:graphic>
          </wp:inline>
        </w:drawing>
      </w:r>
    </w:p>
    <w:p>
      <w:pPr>
        <w:spacing w:before="40" w:after="240" w:line="276" w:lineRule="auto"/>
        <w:jc w:val="center"/>
      </w:pPr>
      <w:r>
        <w:rPr>
          <w:i/>
          <w:sz w:val="18"/>
        </w:rPr>
        <w:t>Gambar 4. Validasi Lead-Time EWS: Alarm Dini pada Kasus Thailand (1995–1996) dan Yunani (2009).</w:t>
      </w:r>
    </w:p>
    <w:p>
      <w:pPr>
        <w:spacing w:before="0" w:after="120" w:line="276" w:lineRule="auto"/>
      </w:pPr>
      <w:r>
        <w:t>1. Kasus Thailand (1997): Sinyal alarm telah menyala berturut-turut pada tahun 1995 (skor = +0.0149) dan 1996 (skor = +0.0028). Artinya, model memberikan peringatan dini hingga 2 tahun (t-2) sebelum nilai tukar Baht runtuh pada Juli 1997 akibat penumpukan utang luar negeri swasta.</w:t>
        <w:br/>
        <w:t>2. Kasus Yunani (2010): Skor anomali telah menembus ambang positif pada tahun 2009 (skor = +0.0082), memberikan lead-time 1 tahun (t-1) sebelum defisit anggaran dan krisis sovereign debt meletus secara terbuka ke publik pada 2010.</w:t>
      </w:r>
    </w:p>
    <w:p>
      <w:pPr>
        <w:pStyle w:val="Heading1"/>
      </w:pPr>
      <w:r>
        <w:t>5. Feature Importance &amp; Analisis Pencilan Struktural</w:t>
      </w:r>
    </w:p>
    <w:p>
      <w:pPr>
        <w:spacing w:before="0" w:after="120" w:line="276" w:lineRule="auto"/>
      </w:pPr>
      <w:r>
        <w:t>Untuk memahami variabel makroekonomi apa yang paling aktif mendorong pohon partisi mengisolasi titik anomali, dilakukan analisis deviasi rata-rata fitur pada observasi terklasifikasi anomali dibandingkan observasi normal:</w:t>
      </w:r>
    </w:p>
    <w:p>
      <w:r>
        <w:drawing>
          <wp:inline xmlns:a="http://schemas.openxmlformats.org/drawingml/2006/main" xmlns:pic="http://schemas.openxmlformats.org/drawingml/2006/picture">
            <wp:extent cx="5303520" cy="3164946"/>
            <wp:docPr id="5" name="Picture 5"/>
            <wp:cNvGraphicFramePr>
              <a:graphicFrameLocks noChangeAspect="1"/>
            </wp:cNvGraphicFramePr>
            <a:graphic>
              <a:graphicData uri="http://schemas.openxmlformats.org/drawingml/2006/picture">
                <pic:pic>
                  <pic:nvPicPr>
                    <pic:cNvPr id="0" name="fig3_feature_importance.png"/>
                    <pic:cNvPicPr/>
                  </pic:nvPicPr>
                  <pic:blipFill>
                    <a:blip r:embed="rId13"/>
                    <a:stretch>
                      <a:fillRect/>
                    </a:stretch>
                  </pic:blipFill>
                  <pic:spPr>
                    <a:xfrm>
                      <a:off x="0" y="0"/>
                      <a:ext cx="5303520" cy="3164946"/>
                    </a:xfrm>
                    <a:prstGeom prst="rect"/>
                  </pic:spPr>
                </pic:pic>
              </a:graphicData>
            </a:graphic>
          </wp:inline>
        </w:drawing>
      </w:r>
    </w:p>
    <w:p>
      <w:pPr>
        <w:spacing w:before="40" w:after="240" w:line="276" w:lineRule="auto"/>
        <w:jc w:val="center"/>
      </w:pPr>
      <w:r>
        <w:rPr>
          <w:i/>
          <w:sz w:val="18"/>
        </w:rPr>
        <w:t>Gambar 5. Kontribusi Indikator Makroekonomi Terhadap Pembentukan Skor Anomali.</w:t>
      </w:r>
    </w:p>
    <w:p>
      <w:pPr>
        <w:spacing w:before="0" w:after="120" w:line="276" w:lineRule="auto"/>
      </w:pPr>
      <w:r>
        <w:t>Indikator dengan pengaruh terbesar adalah:</w:t>
        <w:br/>
        <w:t>1. Inflation_CPI: Rata-rata inflasi pada kondisi normal adalah 6.16%, sedangkan pada kondisi anomali melonjak drastis menjadi 96.89% (selisih +90.73%).</w:t>
        <w:br/>
        <w:t>2. Broad_Money_Growth: Pertumbuhan uang beredar (M2) melonjak dari 12.03% (normal) menjadi 81.81% (anomali), mengindikasikan pelonggaran likuiditas berlebihan sebelum krisis.</w:t>
        <w:br/>
        <w:t>3. Exchange_Depreciation: Depresiasi nilai tukar melonjak dari 2.89% menjadi 38.54% (selisih +35.66%), mencerminkan tekanan hebat di pasar valas.</w:t>
      </w:r>
    </w:p>
    <w:p>
      <w:pPr>
        <w:pStyle w:val="Heading2"/>
      </w:pPr>
      <w:r>
        <w:t>5.1 Fenomena False Alarm Struktural (Kasus Singapura &amp; Irlandia)</w:t>
      </w:r>
    </w:p>
    <w:p>
      <w:pPr>
        <w:spacing w:before="0" w:after="120" w:line="276" w:lineRule="auto"/>
      </w:pPr>
      <w:r>
        <w:t>Model mencatat Singapura (SGP) terdeteksi anomali selama 35 tahun berturut-turut dan Irlandia (IRL) selama 21 tahun. Temuan ini bukan merupakan kegagalan algoritma, melainkan karakteristik bawaan geometri partisi pohon pada open-hub economy. Rasio ekspor dan impor Singapura melebihi 150%–300% dari PDB, menempatkannya di ruang terluar (sparse outer boundary) matriks data. Hal ini menjadi dasar kuat diperlukannya pendekatan Ensemble Majority Voting (menggabungkan model LOF, DBSCAN, dan Autoencoder) untuk menyaring pencilan struktural nonton-krisis.</w:t>
      </w:r>
    </w:p>
    <w:p>
      <w:r>
        <w:drawing>
          <wp:inline xmlns:a="http://schemas.openxmlformats.org/drawingml/2006/main" xmlns:pic="http://schemas.openxmlformats.org/drawingml/2006/picture">
            <wp:extent cx="5303520" cy="3163879"/>
            <wp:docPr id="6" name="Picture 6"/>
            <wp:cNvGraphicFramePr>
              <a:graphicFrameLocks noChangeAspect="1"/>
            </wp:cNvGraphicFramePr>
            <a:graphic>
              <a:graphicData uri="http://schemas.openxmlformats.org/drawingml/2006/picture">
                <pic:pic>
                  <pic:nvPicPr>
                    <pic:cNvPr id="0" name="fig4_pca_projection.png"/>
                    <pic:cNvPicPr/>
                  </pic:nvPicPr>
                  <pic:blipFill>
                    <a:blip r:embed="rId14"/>
                    <a:stretch>
                      <a:fillRect/>
                    </a:stretch>
                  </pic:blipFill>
                  <pic:spPr>
                    <a:xfrm>
                      <a:off x="0" y="0"/>
                      <a:ext cx="5303520" cy="3163879"/>
                    </a:xfrm>
                    <a:prstGeom prst="rect"/>
                  </pic:spPr>
                </pic:pic>
              </a:graphicData>
            </a:graphic>
          </wp:inline>
        </w:drawing>
      </w:r>
    </w:p>
    <w:p>
      <w:pPr>
        <w:spacing w:before="40" w:after="280" w:line="276" w:lineRule="auto"/>
        <w:jc w:val="center"/>
      </w:pPr>
      <w:r>
        <w:rPr>
          <w:i/>
          <w:sz w:val="18"/>
        </w:rPr>
        <w:t>Gambar 6. Proyeksi Ruang Fitur PCA 2D Menunjukkan Pemisahan Titik Normal vs Anomali.</w:t>
      </w:r>
    </w:p>
    <w:p>
      <w:pPr>
        <w:pStyle w:val="Heading1"/>
      </w:pPr>
      <w:r>
        <w:t>6. Protokol Sistem Peringatan Dini &amp; Rekomendasi Kebijakan</w:t>
      </w:r>
    </w:p>
    <w:p>
      <w:pPr>
        <w:spacing w:before="0" w:after="120" w:line="276" w:lineRule="auto"/>
      </w:pPr>
      <w:r>
        <w:t>Sebagai implementasi praktis EWS bagi otoritas moneter (Bank Indonesia, Kemenkeu, KSSK), nilai kontinu anomaly score Isolation Forest diklasifikasikan ke dalam Protokol Tiga Lampu (Traffic Light System):</w:t>
      </w:r>
    </w:p>
    <w:tbl>
      <w:tblPr>
        <w:tblW w:type="auto" w:w="0"/>
        <w:jc w:val="center"/>
        <w:tblLook w:firstColumn="1" w:firstRow="1" w:lastColumn="0" w:lastRow="0" w:noHBand="0" w:noVBand="1" w:val="04A0"/>
      </w:tblPr>
      <w:tblGrid>
        <w:gridCol w:w="2340"/>
        <w:gridCol w:w="2340"/>
        <w:gridCol w:w="2340"/>
        <w:gridCol w:w="2340"/>
      </w:tblGrid>
      <w:tr>
        <w:tc>
          <w:tcPr>
            <w:tcW w:type="dxa" w:w="2340"/>
            <w:shd w:fill="102C57"/>
          </w:tcPr>
          <w:p>
            <w:pPr>
              <w:jc w:val="center"/>
            </w:pPr>
            <w:r>
              <w:rPr>
                <w:b/>
                <w:color w:val="FFFFFF"/>
              </w:rPr>
              <w:t>Tingkat Status</w:t>
            </w:r>
          </w:p>
        </w:tc>
        <w:tc>
          <w:tcPr>
            <w:tcW w:type="dxa" w:w="2340"/>
            <w:shd w:fill="102C57"/>
          </w:tcPr>
          <w:p>
            <w:pPr>
              <w:jc w:val="center"/>
            </w:pPr>
            <w:r>
              <w:rPr>
                <w:b/>
                <w:color w:val="FFFFFF"/>
              </w:rPr>
              <w:t>Ambang Skor (s)</w:t>
            </w:r>
          </w:p>
        </w:tc>
        <w:tc>
          <w:tcPr>
            <w:tcW w:type="dxa" w:w="2340"/>
            <w:shd w:fill="102C57"/>
          </w:tcPr>
          <w:p>
            <w:pPr>
              <w:jc w:val="center"/>
            </w:pPr>
            <w:r>
              <w:rPr>
                <w:b/>
                <w:color w:val="FFFFFF"/>
              </w:rPr>
              <w:t>Kondisi Makroekonomi</w:t>
            </w:r>
          </w:p>
        </w:tc>
        <w:tc>
          <w:tcPr>
            <w:tcW w:type="dxa" w:w="2340"/>
            <w:shd w:fill="102C57"/>
          </w:tcPr>
          <w:p>
            <w:pPr>
              <w:jc w:val="center"/>
            </w:pPr>
            <w:r>
              <w:rPr>
                <w:b/>
                <w:color w:val="FFFFFF"/>
              </w:rPr>
              <w:t>Protokol Tindakan Otoritas (Policy Action)</w:t>
            </w:r>
          </w:p>
        </w:tc>
      </w:tr>
      <w:tr>
        <w:tc>
          <w:tcPr>
            <w:tcW w:type="dxa" w:w="2340"/>
            <w:shd w:fill="D4EDDA"/>
          </w:tcPr>
          <w:p>
            <w:r>
              <w:rPr>
                <w:b/>
              </w:rPr>
              <w:t>HIJAU (Normal)</w:t>
            </w:r>
          </w:p>
        </w:tc>
        <w:tc>
          <w:tcPr>
            <w:tcW w:type="dxa" w:w="2340"/>
            <w:shd w:fill="D4EDDA"/>
          </w:tcPr>
          <w:p>
            <w:r>
              <w:t>s &lt; -0.01</w:t>
            </w:r>
          </w:p>
        </w:tc>
        <w:tc>
          <w:tcPr>
            <w:tcW w:type="dxa" w:w="2340"/>
            <w:shd w:fill="D4EDDA"/>
          </w:tcPr>
          <w:p>
            <w:r>
              <w:t>Stabilitas makroekonomi terjaga, inflasi dan moneter aman.</w:t>
            </w:r>
          </w:p>
        </w:tc>
        <w:tc>
          <w:tcPr>
            <w:tcW w:type="dxa" w:w="2340"/>
            <w:shd w:fill="D4EDDA"/>
          </w:tcPr>
          <w:p>
            <w:r>
              <w:t>Pengawasan rutin (standard macroeconomic surveillance).</w:t>
            </w:r>
          </w:p>
        </w:tc>
      </w:tr>
      <w:tr>
        <w:tc>
          <w:tcPr>
            <w:tcW w:type="dxa" w:w="2340"/>
            <w:shd w:fill="FFF3CD"/>
          </w:tcPr>
          <w:p>
            <w:r>
              <w:rPr>
                <w:b/>
              </w:rPr>
              <w:t>KUNING (Waspada)</w:t>
            </w:r>
          </w:p>
        </w:tc>
        <w:tc>
          <w:tcPr>
            <w:tcW w:type="dxa" w:w="2340"/>
            <w:shd w:fill="FFF3CD"/>
          </w:tcPr>
          <w:p>
            <w:r>
              <w:t>-0.01 &lt;= s &lt; 0.03</w:t>
            </w:r>
          </w:p>
        </w:tc>
        <w:tc>
          <w:tcPr>
            <w:tcW w:type="dxa" w:w="2340"/>
            <w:shd w:fill="FFF3CD"/>
          </w:tcPr>
          <w:p>
            <w:r>
              <w:t>Tekanan moneter/kurs terdeteksi, likuiditas valas mulai mengetat.</w:t>
            </w:r>
          </w:p>
        </w:tc>
        <w:tc>
          <w:tcPr>
            <w:tcW w:type="dxa" w:w="2340"/>
            <w:shd w:fill="FFF3CD"/>
          </w:tcPr>
          <w:p>
            <w:r>
              <w:t>Pengetatan rasio Giro Wajib Minimum (GWM), pembatasan kredit berisiko, stress-test perbankan.</w:t>
            </w:r>
          </w:p>
        </w:tc>
      </w:tr>
      <w:tr>
        <w:tc>
          <w:tcPr>
            <w:tcW w:type="dxa" w:w="2340"/>
            <w:shd w:fill="F8D7DA"/>
          </w:tcPr>
          <w:p>
            <w:r>
              <w:rPr>
                <w:b/>
              </w:rPr>
              <w:t>MERAH (Bahaya)</w:t>
            </w:r>
          </w:p>
        </w:tc>
        <w:tc>
          <w:tcPr>
            <w:tcW w:type="dxa" w:w="2340"/>
            <w:shd w:fill="F8D7DA"/>
          </w:tcPr>
          <w:p>
            <w:r>
              <w:t>s &gt;= 0.03</w:t>
            </w:r>
          </w:p>
        </w:tc>
        <w:tc>
          <w:tcPr>
            <w:tcW w:type="dxa" w:w="2340"/>
            <w:shd w:fill="F8D7DA"/>
          </w:tcPr>
          <w:p>
            <w:r>
              <w:t>Distorsi ekstrim terdeteksi (hiperinflasi, pelarian modal, kurs anjlok).</w:t>
            </w:r>
          </w:p>
        </w:tc>
        <w:tc>
          <w:tcPr>
            <w:tcW w:type="dxa" w:w="2340"/>
            <w:shd w:fill="F8D7DA"/>
          </w:tcPr>
          <w:p>
            <w:r>
              <w:t>Intervensi pasar valas darurat, penyesuaian suku bunga agresif, pengaktifan Protokol Manajemen Krisis Sistemik.</w:t>
            </w:r>
          </w:p>
        </w:tc>
      </w:tr>
    </w:tbl>
    <w:p>
      <w:pPr>
        <w:spacing w:after="240"/>
      </w:pPr>
    </w:p>
    <w:p>
      <w:pPr>
        <w:pStyle w:val="Heading1"/>
      </w:pPr>
      <w:r>
        <w:t>7. Kesimpulan Bagian Isolation Forest</w:t>
      </w:r>
    </w:p>
    <w:p>
      <w:pPr>
        <w:spacing w:before="0" w:after="120" w:line="276" w:lineRule="auto"/>
      </w:pPr>
      <w:r>
        <w:t>Model Isolation Forest milik Rezky Raya Kilwouw terbukti handal sebagai pilar detektor syok moneter dan nilai tukar dalam kerangka EWS Kelompok 4. Dengan Noise-to-Signal Ratio 0.8654 dan kapasitas lead-time hingga 2 tahun sebelum krisis, model ini memberikan sinyal peringatan dini yang sangat berharga. File hasil prediksi resmi 'hasil_isolation_forest.csv' telah siap digabungkan dengan 5 algoritma rekan kelompok untuk membangun sistem Ensemble EWS berbasis konsensus.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2C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