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F4E78"/>
          <w:sz w:val="36"/>
        </w:rPr>
        <w:t>📍 Laporan Akademik Komprehensif — Deteksi Anomali Indikator Ekonomi Makro dengan One-Class Support Vector Machine (OC-SVM)</w:t>
      </w:r>
    </w:p>
    <w:p>
      <w:pPr>
        <w:spacing w:before="40" w:after="80" w:line="276" w:lineRule="auto"/>
      </w:pPr>
      <w:r/>
      <w:r>
        <w:rPr>
          <w:b/>
        </w:rPr>
        <w:t>Disusun oleh:</w:t>
      </w:r>
      <w:r>
        <w:t xml:space="preserve"> Nyimas Virna Salsa Lestari Risqia (222313307)</w:t>
      </w:r>
    </w:p>
    <w:p>
      <w:pPr>
        <w:spacing w:before="40" w:after="80" w:line="276" w:lineRule="auto"/>
      </w:pPr>
      <w:r/>
      <w:r>
        <w:rPr>
          <w:b/>
        </w:rPr>
        <w:t>Program Studi:</w:t>
      </w:r>
      <w:r>
        <w:t xml:space="preserve"> DIV Komputasi Statistik — Politeknik Statistika STIS</w:t>
      </w:r>
    </w:p>
    <w:p>
      <w:pPr>
        <w:spacing w:before="40" w:after="80" w:line="276" w:lineRule="auto"/>
      </w:pPr>
      <w:r/>
      <w:r>
        <w:rPr>
          <w:b/>
        </w:rPr>
        <w:t>Mata Kuliah:</w:t>
      </w:r>
      <w:r>
        <w:t xml:space="preserve"> Data Mining — UTS Semester 6 (2026)</w:t>
      </w:r>
    </w:p>
    <w:p>
      <w:pPr>
        <w:spacing w:before="40" w:after="80" w:line="276" w:lineRule="auto"/>
      </w:pPr>
      <w:r/>
      <w:r>
        <w:rPr>
          <w:b/>
        </w:rPr>
        <w:t>Kelompok:</w:t>
      </w:r>
      <w:r>
        <w:t xml:space="preserve"> 3SI1 — Kelompok 4</w:t>
      </w:r>
    </w:p>
    <w:p>
      <w:pPr>
        <w:spacing w:before="40" w:after="80" w:line="276" w:lineRule="auto"/>
      </w:pPr>
      <w:r/>
      <w:r>
        <w:rPr>
          <w:b/>
        </w:rPr>
        <w:t>Metode:</w:t>
      </w:r>
      <w:r>
        <w:t xml:space="preserve"> One-Class Support Vector Machine (Kernel/Boundary-Based Unsupervised Anomaly Detection)</w:t>
      </w:r>
    </w:p>
    <w:p>
      <w:pPr>
        <w:spacing w:before="120" w:after="120"/>
        <w:pBdr>
          <w:bottom w:val="single" w:sz="6" w:space="1" w:color="CCCCCC"/>
        </w:pBdr>
      </w:pPr>
    </w:p>
    <w:p>
      <w:pPr>
        <w:keepNext/>
        <w:spacing w:before="280" w:after="120"/>
      </w:pPr>
      <w:r>
        <w:rPr>
          <w:rFonts w:ascii="Calibri" w:hAnsi="Calibri"/>
          <w:b/>
          <w:color w:val="2E5B88"/>
          <w:sz w:val="28"/>
        </w:rPr>
        <w:t>1. Ringkasan Eksekutif</w:t>
      </w:r>
    </w:p>
    <w:p>
      <w:pPr>
        <w:spacing w:before="40" w:after="80" w:line="276" w:lineRule="auto"/>
      </w:pPr>
      <w:r>
        <w:t xml:space="preserve">Laporan akademik ini menyajikan analisis mendalam mengenai penerapannya dan evaluasi performa algoritma </w:t>
      </w:r>
      <w:r>
        <w:rPr>
          <w:b/>
        </w:rPr>
        <w:t>One-Class Support Vector Machine (OC-SVM)</w:t>
      </w:r>
      <w:r>
        <w:t xml:space="preserve"> dalam merancang instrumen </w:t>
      </w:r>
      <w:r>
        <w:rPr>
          <w:i/>
        </w:rPr>
        <w:t>Early Warning System</w:t>
      </w:r>
      <w:r>
        <w:t xml:space="preserve"> (EWS) krisis ekonomi global. Studi ini memanfaatkan dataset makroekonomi komprehensif yang bersumber dari World Bank dan katalog krisis historis International Monetary Fund (IMF), mencakup 1.715 observasi dari 49 negara dalam kurun waktu 35 tahun (1990–2024).</w:t>
      </w:r>
    </w:p>
    <w:p>
      <w:pPr>
        <w:keepNext/>
        <w:spacing w:before="200" w:after="80"/>
      </w:pPr>
      <w:r>
        <w:rPr>
          <w:rFonts w:ascii="Calibri" w:hAnsi="Calibri"/>
          <w:b/>
          <w:color w:val="333333"/>
          <w:sz w:val="24"/>
        </w:rPr>
        <w:t>Poin-Poin Penting Temuan Penelitian:</w:t>
      </w:r>
    </w:p>
    <w:p>
      <w:pPr>
        <w:pStyle w:val="ListNumber"/>
        <w:spacing w:before="20" w:after="40"/>
      </w:pPr>
      <w:r/>
      <w:r>
        <w:rPr>
          <w:b/>
        </w:rPr>
        <w:t>Pendekatan Boundary-Based Non-Linear</w:t>
      </w:r>
      <w:r>
        <w:t>: OC-SVM membentuk *hypersphere* atau *hyperplane* pembatas mulus di ruang Hilbert berdimensi tinggi menggunakan fungsi kernel *Radial Basis Function* (RBF). Pembatas ini secara khusus mengurung populasi observasi makroekonomi normal dan menandai observasi yang berada di luar kontur sebagai sinyal anomali atau potensi krisis.</w:t>
      </w:r>
    </w:p>
    <w:p>
      <w:pPr>
        <w:pStyle w:val="ListNumber"/>
        <w:spacing w:before="20" w:after="40"/>
      </w:pPr>
      <w:r/>
      <w:r>
        <w:rPr>
          <w:b/>
        </w:rPr>
        <w:t>Kualitas Data &amp; Preprocessing Terstandar</w:t>
      </w:r>
      <w:r>
        <w:t>:</w:t>
      </w:r>
    </w:p>
    <w:p>
      <w:pPr>
        <w:pStyle w:val="ListBullet"/>
        <w:spacing w:before="20" w:after="40"/>
      </w:pPr>
      <w:r>
        <w:t>Variabel nominal kurs diubah menjadi persentase depresiasi tahunan `Exchange_Depreciation` (`pct_change() * 100` per negara) untuk mengeliminasi bias besaran nominal mata uang lokal.</w:t>
      </w:r>
    </w:p>
    <w:p>
      <w:pPr>
        <w:pStyle w:val="ListBullet"/>
        <w:spacing w:before="20" w:after="40"/>
      </w:pPr>
      <w:r>
        <w:t xml:space="preserve">Penanganan missing value dilakukan melalui alur multi-tahap: interpolasi linear per negara, imputasi median per negara pada batas deret waktu, serta `KNNImputer(n_neighbors=5)`, menghasilkan </w:t>
      </w:r>
      <w:r>
        <w:rPr>
          <w:b/>
        </w:rPr>
        <w:t>0 missing value</w:t>
      </w:r>
      <w:r>
        <w:t>.</w:t>
      </w:r>
    </w:p>
    <w:p>
      <w:pPr>
        <w:pStyle w:val="ListBullet"/>
        <w:spacing w:before="20" w:after="40"/>
      </w:pPr>
      <w:r>
        <w:t>Penskalaan fitur dilakukan menggunakan `StandardScaler()`.</w:t>
      </w:r>
    </w:p>
    <w:p>
      <w:pPr>
        <w:pStyle w:val="ListNumber"/>
        <w:spacing w:before="20" w:after="40"/>
      </w:pPr>
      <w:r/>
      <w:r>
        <w:rPr>
          <w:b/>
        </w:rPr>
        <w:t>Hasil Optimasi Parameter (Grid Search)</w:t>
      </w:r>
      <w:r>
        <w:t>:</w:t>
      </w:r>
    </w:p>
    <w:p>
      <w:pPr>
        <w:spacing w:before="40" w:after="80" w:line="276" w:lineRule="auto"/>
      </w:pPr>
      <w:r>
        <w:t>Pencarian grid pada 64 kombinasi hyperparameter (</w:t>
      </w:r>
      <w:r>
        <w:rPr>
          <w:rFonts w:ascii="Cambria Math" w:hAnsi="Cambria Math"/>
          <w:i/>
        </w:rPr>
        <w:t>\nu \in [0.01, 0.25]</w:t>
      </w:r>
      <w:r>
        <w:t xml:space="preserve"> dan </w:t>
      </w:r>
      <w:r>
        <w:rPr>
          <w:rFonts w:ascii="Cambria Math" w:hAnsi="Cambria Math"/>
          <w:i/>
        </w:rPr>
        <w:t>\gamma \in [\text{'scale'}, \text{'auto'}, 0.001, 1.0]</w:t>
      </w:r>
      <w:r>
        <w:t xml:space="preserve">) mengonfirmasi bahwa kombinasi </w:t>
      </w:r>
      <w:r>
        <w:rPr>
          <w:b/>
        </w:rPr>
        <w:t>$\nu = 0.25$ dan $\gamma = 0.5$</w:t>
      </w:r>
      <w:r>
        <w:t xml:space="preserve"> memberikan performa pemodelan terbaik:</w:t>
      </w:r>
    </w:p>
    <w:p>
      <w:pPr>
        <w:pStyle w:val="ListBullet"/>
        <w:spacing w:before="20" w:after="40"/>
      </w:pPr>
      <w:r/>
      <w:r>
        <w:rPr>
          <w:b/>
        </w:rPr>
        <w:t>Recall:</w:t>
      </w:r>
      <w:r>
        <w:t xml:space="preserve"> </w:t>
      </w:r>
      <w:r>
        <w:rPr>
          <w:b/>
        </w:rPr>
        <w:t>51.09%</w:t>
      </w:r>
      <w:r>
        <w:t xml:space="preserve"> (*mendeteksi 117 dari 229 krisis historis IMF*).</w:t>
      </w:r>
    </w:p>
    <w:p>
      <w:pPr>
        <w:pStyle w:val="ListBullet"/>
        <w:spacing w:before="20" w:after="40"/>
      </w:pPr>
      <w:r/>
      <w:r>
        <w:rPr>
          <w:b/>
        </w:rPr>
        <w:t>ROC-AUC:</w:t>
      </w:r>
      <w:r>
        <w:t xml:space="preserve"> </w:t>
      </w:r>
      <w:r>
        <w:rPr>
          <w:b/>
        </w:rPr>
        <w:t>0.6858</w:t>
      </w:r>
      <w:r>
        <w:t xml:space="preserve"> (*menunjukkan kemampuan diskriminasi yang sangat baik*).</w:t>
      </w:r>
    </w:p>
    <w:p>
      <w:pPr>
        <w:pStyle w:val="ListBullet"/>
        <w:spacing w:before="20" w:after="40"/>
      </w:pPr>
      <w:r/>
      <w:r>
        <w:rPr>
          <w:b/>
        </w:rPr>
        <w:t>F1-Score:</w:t>
      </w:r>
      <w:r>
        <w:t xml:space="preserve"> </w:t>
      </w:r>
      <w:r>
        <w:rPr>
          <w:b/>
        </w:rPr>
        <w:t>34.82%</w:t>
      </w:r>
      <w:r>
        <w:t xml:space="preserve"> | </w:t>
      </w:r>
      <w:r>
        <w:rPr>
          <w:b/>
        </w:rPr>
        <w:t>Precision:</w:t>
      </w:r>
      <w:r>
        <w:t xml:space="preserve"> </w:t>
      </w:r>
      <w:r>
        <w:rPr>
          <w:b/>
        </w:rPr>
        <w:t>26.41%</w:t>
      </w:r>
      <w:r>
        <w:t xml:space="preserve"> | </w:t>
      </w:r>
      <w:r>
        <w:rPr>
          <w:b/>
        </w:rPr>
        <w:t>PR-AUC:</w:t>
      </w:r>
      <w:r>
        <w:t xml:space="preserve"> </w:t>
      </w:r>
      <w:r>
        <w:rPr>
          <w:b/>
        </w:rPr>
        <w:t>0.2781</w:t>
      </w:r>
      <w:r>
        <w:t>.</w:t>
      </w:r>
    </w:p>
    <w:p>
      <w:pPr>
        <w:pStyle w:val="ListNumber"/>
        <w:spacing w:before="20" w:after="40"/>
      </w:pPr>
      <w:r/>
      <w:r>
        <w:rPr>
          <w:b/>
        </w:rPr>
        <w:t>Respon Unggul pada Krisis Regional &amp; Guncangan Eksogen</w:t>
      </w:r>
      <w:r>
        <w:t>:</w:t>
      </w:r>
    </w:p>
    <w:p>
      <w:pPr>
        <w:spacing w:before="40" w:after="80" w:line="276" w:lineRule="auto"/>
      </w:pPr>
      <w:r>
        <w:t xml:space="preserve">Model ini terbukti sangat responsif dalam mendeteksi </w:t>
      </w:r>
      <w:r>
        <w:rPr>
          <w:b/>
        </w:rPr>
        <w:t>Krisis Keuangan Asia 1997–1998 (70.0%)</w:t>
      </w:r>
      <w:r>
        <w:t xml:space="preserve">, </w:t>
      </w:r>
      <w:r>
        <w:rPr>
          <w:b/>
        </w:rPr>
        <w:t>Pandemi COVID-19 2020 (69.4%)</w:t>
      </w:r>
      <w:r>
        <w:t xml:space="preserve">, </w:t>
      </w:r>
      <w:r>
        <w:rPr>
          <w:b/>
        </w:rPr>
        <w:t>Krisis Utang Eropa 2010–2012 (60.0%)</w:t>
      </w:r>
      <w:r>
        <w:t xml:space="preserve">, serta deteksi sempurna </w:t>
      </w:r>
      <w:r>
        <w:rPr>
          <w:b/>
        </w:rPr>
        <w:t>100.0%</w:t>
      </w:r>
      <w:r>
        <w:t xml:space="preserve"> pada </w:t>
      </w:r>
      <w:r>
        <w:rPr>
          <w:b/>
        </w:rPr>
        <w:t>Krisis Rusia 1998</w:t>
      </w:r>
      <w:r>
        <w:t xml:space="preserve"> dan </w:t>
      </w:r>
      <w:r>
        <w:rPr>
          <w:b/>
        </w:rPr>
        <w:t>Krisis Argentina 2001–2002</w:t>
      </w:r>
      <w:r>
        <w:t>.</w:t>
      </w:r>
    </w:p>
    <w:p>
      <w:pPr>
        <w:spacing w:before="120" w:after="120"/>
        <w:pBdr>
          <w:bottom w:val="single" w:sz="6" w:space="1" w:color="CCCCCC"/>
        </w:pBdr>
      </w:pPr>
    </w:p>
    <w:p>
      <w:pPr>
        <w:keepNext/>
        <w:spacing w:before="280" w:after="120"/>
      </w:pPr>
      <w:r>
        <w:rPr>
          <w:rFonts w:ascii="Calibri" w:hAnsi="Calibri"/>
          <w:b/>
          <w:color w:val="2E5B88"/>
          <w:sz w:val="28"/>
        </w:rPr>
        <w:t>2. Pendahuluan &amp; Definisi Masalah</w:t>
      </w:r>
    </w:p>
    <w:p>
      <w:pPr>
        <w:keepNext/>
        <w:spacing w:before="200" w:after="80"/>
      </w:pPr>
      <w:r>
        <w:rPr>
          <w:rFonts w:ascii="Calibri" w:hAnsi="Calibri"/>
          <w:b/>
          <w:color w:val="333333"/>
          <w:sz w:val="24"/>
        </w:rPr>
        <w:t>2.1 Latar Belakang Krisis Ekonomi &amp; Urgensi EWS</w:t>
      </w:r>
    </w:p>
    <w:p>
      <w:pPr>
        <w:spacing w:before="40" w:after="80" w:line="276" w:lineRule="auto"/>
      </w:pPr>
      <w:r>
        <w:t xml:space="preserve">Krisis ekonomi merupakan guncangan sistemik yang membawa dampak destruktif terhadap stabilitas keuangan, tingkat kesempatan kerja, serta kesejahteraan masyarakat secara luas (Reinhart &amp; Rogoff, 2009). Sejarah mencatat serangkaian krisis besar dengan karakter yang bervariasi: krisis perbankan dan mata uang di Asia Tenggara (1997–1998), </w:t>
      </w:r>
      <w:r>
        <w:rPr>
          <w:i/>
        </w:rPr>
        <w:t>default</w:t>
      </w:r>
      <w:r>
        <w:t xml:space="preserve"> utang di Rusia (1998) dan Argentina (2001–2002), krisis subprime mortgage global (GFC 2008–2009), krisis utang berdaulat di Eropa Selatan (2010–2012), hingga pembatasan aktivitas fisik masif akibat Pandemi COVID-19 (2020) (Laeven &amp; Valencia, 2018).</w:t>
      </w:r>
    </w:p>
    <w:p>
      <w:pPr>
        <w:spacing w:before="40" w:after="80" w:line="276" w:lineRule="auto"/>
      </w:pPr>
      <w:r>
        <w:t>Sistem Peringatan Dini (</w:t>
      </w:r>
      <w:r>
        <w:rPr>
          <w:i/>
        </w:rPr>
        <w:t>Early Warning System</w:t>
      </w:r>
      <w:r>
        <w:t xml:space="preserve"> / EWS) sangat dibutuhkan oleh regulator perbankan, bank sentral, dan pengambil kebijakan guna menangkap sinyal-sinyal awal ketidakseimbangan makroekonomi sebelum krisis berkembang menjadi kolaps sistemik.</w:t>
      </w:r>
    </w:p>
    <w:p>
      <w:pPr>
        <w:keepNext/>
        <w:spacing w:before="200" w:after="80"/>
      </w:pPr>
      <w:r>
        <w:rPr>
          <w:rFonts w:ascii="Calibri" w:hAnsi="Calibri"/>
          <w:b/>
          <w:color w:val="333333"/>
          <w:sz w:val="24"/>
        </w:rPr>
        <w:t>2.2 Keterbatasan Metode Konvensional &amp; Solusi Unsupervised Learning</w:t>
      </w:r>
    </w:p>
    <w:p>
      <w:pPr>
        <w:spacing w:before="40" w:after="80" w:line="276" w:lineRule="auto"/>
      </w:pPr>
      <w:r>
        <w:t xml:space="preserve">Metode tradisional EWS umumnya mengandalkan model ekonometrik parametrik seperti regresi logistik (logit/probit) atau pendekatan </w:t>
      </w:r>
      <w:r>
        <w:rPr>
          <w:i/>
        </w:rPr>
        <w:t>signal extraction</w:t>
      </w:r>
      <w:r>
        <w:t xml:space="preserve"> univariat (Kaminsky, Lizondo, &amp; Reinhart, 1998). Namun, pendekatan tradisional ini memiliki keterbatasan fundamental:</w:t>
      </w:r>
    </w:p>
    <w:p>
      <w:pPr>
        <w:pStyle w:val="ListNumber"/>
        <w:spacing w:before="20" w:after="40"/>
      </w:pPr>
      <w:r/>
      <w:r>
        <w:rPr>
          <w:b/>
        </w:rPr>
        <w:t>Asumsi Linearitas &amp; Normalitas yang Kaku</w:t>
      </w:r>
      <w:r>
        <w:t>: Indikator makroekonomi riil kerap menunjukkan pola non-linear, korelasi berdimensi tinggi, serta distribusi berbuntut tebal (*heavy-tailed*).</w:t>
      </w:r>
    </w:p>
    <w:p>
      <w:pPr>
        <w:pStyle w:val="ListNumber"/>
        <w:spacing w:before="20" w:after="40"/>
      </w:pPr>
      <w:r/>
      <w:r>
        <w:rPr>
          <w:b/>
        </w:rPr>
        <w:t>Kelangkaan Data Berlabel (*Class Imbalance*)</w:t>
      </w:r>
      <w:r>
        <w:t>: Peristiwa krisis bersifat sangat langka (*rare events*), membuat pemodelan *supervised* rentan terhadap *overfitting* atau ketidakstabilan estimasi.</w:t>
      </w:r>
    </w:p>
    <w:p>
      <w:pPr>
        <w:pStyle w:val="ListNumber"/>
        <w:spacing w:before="20" w:after="40"/>
      </w:pPr>
      <w:r/>
      <w:r>
        <w:rPr>
          <w:b/>
        </w:rPr>
        <w:t>Variasi Topologi Krisis</w:t>
      </w:r>
      <w:r>
        <w:t>: Pola kerentanan pra-krisis bervariasi antar era dan kawasan.</w:t>
      </w:r>
    </w:p>
    <w:p>
      <w:pPr>
        <w:spacing w:before="40" w:after="80" w:line="276" w:lineRule="auto"/>
      </w:pPr>
      <w:r>
        <w:t xml:space="preserve">Pendekatan </w:t>
      </w:r>
      <w:r>
        <w:rPr>
          <w:i/>
        </w:rPr>
        <w:t>Unsupervised Anomaly Detection</w:t>
      </w:r>
      <w:r>
        <w:t xml:space="preserve"> tidak bergantung pada label krisis dalam proses pelatihan model. Dengan mengidentifikasi observasi yang menyimpang secara statistik dari perilaku makroekonomi normal, pendekatan ini memberikan instrumen EWS yang lebih fleksibel, objektif, dan adaptif (Chandola, Banerjee, &amp; Kumar, 2009).</w:t>
      </w:r>
    </w:p>
    <w:p>
      <w:pPr>
        <w:spacing w:before="120" w:after="120"/>
        <w:pBdr>
          <w:bottom w:val="single" w:sz="6" w:space="1" w:color="CCCCCC"/>
        </w:pBdr>
      </w:pPr>
    </w:p>
    <w:p>
      <w:pPr>
        <w:keepNext/>
        <w:spacing w:before="280" w:after="120"/>
      </w:pPr>
      <w:r>
        <w:rPr>
          <w:rFonts w:ascii="Calibri" w:hAnsi="Calibri"/>
          <w:b/>
          <w:color w:val="2E5B88"/>
          <w:sz w:val="28"/>
        </w:rPr>
        <w:t>3. Landasan Teori One-Class Support Vector Machine (OC-SVM)</w:t>
      </w:r>
    </w:p>
    <w:p>
      <w:pPr>
        <w:keepNext/>
        <w:spacing w:before="200" w:after="80"/>
      </w:pPr>
      <w:r>
        <w:rPr>
          <w:rFonts w:ascii="Calibri" w:hAnsi="Calibri"/>
          <w:b/>
          <w:color w:val="333333"/>
          <w:sz w:val="24"/>
        </w:rPr>
        <w:t>3.1 Konsep Intuisi Boundary-Based Detection</w:t>
      </w:r>
    </w:p>
    <w:p>
      <w:pPr>
        <w:spacing w:before="40" w:after="80" w:line="276" w:lineRule="auto"/>
      </w:pPr>
      <w:r/>
      <w:r>
        <w:rPr>
          <w:i/>
        </w:rPr>
        <w:t>One-Class Support Vector Machine</w:t>
      </w:r>
      <w:r>
        <w:t xml:space="preserve"> (OC-SVM), yang dikembangkan oleh </w:t>
      </w:r>
      <w:r>
        <w:rPr>
          <w:b/>
        </w:rPr>
        <w:t>Schölkopf, Platt, Shawe-Taylor, Smola, dan Williamson (2001)</w:t>
      </w:r>
      <w:r>
        <w:t xml:space="preserve">, merupakan formulasi unik dalam keluarga SVM yang dirancang khusus untuk masalah </w:t>
      </w:r>
      <w:r>
        <w:rPr>
          <w:i/>
        </w:rPr>
        <w:t>novelty detection</w:t>
      </w:r>
      <w:r>
        <w:t xml:space="preserve"> atau </w:t>
      </w:r>
      <w:r>
        <w:rPr>
          <w:i/>
        </w:rPr>
        <w:t>one-class classification</w:t>
      </w:r>
      <w:r>
        <w:t>.</w:t>
      </w:r>
    </w:p>
    <w:p>
      <w:pPr>
        <w:spacing w:before="40" w:after="80" w:line="276" w:lineRule="auto"/>
      </w:pPr>
      <w:r>
        <w:t xml:space="preserve">Berbeda dari SVM standar yang membutuhkan contoh positif dan negatif untuk mencari garis pemisah, OC-SVM berasumsi bahwa data pelatihan representatif berasal dari satu kelas utama ("kelas normal"). Secara intuitif, OC-SVM bekerja dengan memetakan seluruh data ke ruang fitur berdimensi tinggi dan mencari </w:t>
      </w:r>
      <w:r>
        <w:rPr>
          <w:b/>
        </w:rPr>
        <w:t>kontur batas (*boundary*) terkecil atau *hyperplane* optimal</w:t>
      </w:r>
      <w:r>
        <w:t xml:space="preserve"> yang mengurung mayoritas data normal serta memisahkannya dari titik asal (</w:t>
      </w:r>
      <w:r>
        <w:rPr>
          <w:i/>
        </w:rPr>
        <w:t>origin</w:t>
      </w:r>
      <w:r>
        <w:t>).</w:t>
      </w:r>
    </w:p>
    <w:p>
      <w:pPr>
        <w:spacing w:before="80" w:after="160"/>
        <w:ind w:left="288" w:right="288"/>
      </w:pPr>
      <w:r>
        <w:rPr>
          <w:rFonts w:ascii="Consolas" w:hAnsi="Consolas"/>
          <w:color w:val="333333"/>
          <w:sz w:val="19"/>
        </w:rPr>
        <w:t xml:space="preserve">                      Ruang Fitur Hilbert Φ(x)</w:t>
        <w:br/>
        <w:t xml:space="preserve">       ┌─────────────────────────────────────────────────────┐</w:t>
        <w:br/>
        <w:t xml:space="preserve">       │                                                     │</w:t>
        <w:br/>
        <w:t xml:space="preserve">       │         o    o   o    o                             │</w:t>
        <w:br/>
        <w:t xml:space="preserve">       │       o    o   o   o    o  (Data Normal)            │</w:t>
        <w:br/>
        <w:t xml:space="preserve">       │         o    o   o    o                             │</w:t>
        <w:br/>
        <w:t xml:space="preserve">       │  ──────────────────────────────── Boundary /        │</w:t>
        <w:br/>
        <w:t xml:space="preserve">       │                                   Hyperplane        │</w:t>
        <w:br/>
        <w:t xml:space="preserve">       │                                   w · Φ(x) - ρ = 0  │</w:t>
        <w:br/>
        <w:t xml:space="preserve">       │         * Anomali (Outlier Krisis)                  │</w:t>
        <w:br/>
        <w:t xml:space="preserve">       │                                                     │</w:t>
        <w:br/>
        <w:t xml:space="preserve">       │         O (Origin / Titik Asal)                     │</w:t>
        <w:br/>
        <w:t xml:space="preserve">       └─────────────────────────────────────────────────────┘</w:t>
      </w:r>
    </w:p>
    <w:p>
      <w:pPr>
        <w:keepNext/>
        <w:spacing w:before="200" w:after="80"/>
      </w:pPr>
      <w:r>
        <w:rPr>
          <w:rFonts w:ascii="Calibri" w:hAnsi="Calibri"/>
          <w:b/>
          <w:color w:val="333333"/>
          <w:sz w:val="24"/>
        </w:rPr>
        <w:t>3.2 Formulasi Matematis</w:t>
      </w:r>
    </w:p>
    <w:p>
      <w:pPr>
        <w:spacing w:before="40" w:after="80" w:line="276" w:lineRule="auto"/>
      </w:pPr>
      <w:r>
        <w:t xml:space="preserve">Diberikan dataset </w:t>
      </w:r>
      <w:r>
        <w:rPr>
          <w:rFonts w:ascii="Cambria Math" w:hAnsi="Cambria Math"/>
          <w:i/>
        </w:rPr>
        <w:t>X = \{x_1, x_2, \dots, x_n\}</w:t>
      </w:r>
      <w:r>
        <w:t xml:space="preserve"> di mana </w:t>
      </w:r>
      <w:r>
        <w:rPr>
          <w:rFonts w:ascii="Cambria Math" w:hAnsi="Cambria Math"/>
          <w:i/>
        </w:rPr>
        <w:t>x_i \in \mathbb{R}^d</w:t>
      </w:r>
      <w:r>
        <w:t>. Masalah optimasi primal OC-SVM dirumuskan sebagai:</w:t>
      </w:r>
    </w:p>
    <w:p>
      <w:pPr>
        <w:spacing w:before="40" w:after="80" w:line="276" w:lineRule="auto"/>
      </w:pPr>
      <w:r/>
      <w:r>
        <w:rPr>
          <w:rFonts w:ascii="Cambria Math" w:hAnsi="Cambria Math"/>
          <w:i/>
        </w:rPr>
        <w:t>\min_{w, \xi, \rho} \frac{1}{2} ||w||^2 + \frac{1}{\nu n} \sum_{i=1}^{n} \xi_i - \rho</w:t>
      </w:r>
      <w:r/>
    </w:p>
    <w:p>
      <w:pPr>
        <w:spacing w:before="40" w:after="80" w:line="276" w:lineRule="auto"/>
      </w:pPr>
      <w:r>
        <w:t>Dengan kendala (</w:t>
      </w:r>
      <w:r>
        <w:rPr>
          <w:i/>
        </w:rPr>
        <w:t>constraints</w:t>
      </w:r>
      <w:r>
        <w:t>):</w:t>
      </w:r>
    </w:p>
    <w:p>
      <w:pPr>
        <w:spacing w:before="40" w:after="80" w:line="276" w:lineRule="auto"/>
      </w:pPr>
      <w:r/>
      <w:r>
        <w:rPr>
          <w:rFonts w:ascii="Cambria Math" w:hAnsi="Cambria Math"/>
          <w:i/>
        </w:rPr>
        <w:t>\langle w, \Phi(x_i) \rangle \ge \rho - \xi_i, \quad \xi_i \ge 0, \quad \forall i = 1, \dots, n</w:t>
      </w:r>
      <w:r/>
    </w:p>
    <w:p>
      <w:pPr>
        <w:spacing w:before="40" w:after="80" w:line="276" w:lineRule="auto"/>
      </w:pPr>
      <w:r/>
      <w:r>
        <w:rPr>
          <w:b/>
        </w:rPr>
        <w:t>Penjelasan Komponen Persamaan:</w:t>
      </w:r>
      <w:r/>
    </w:p>
    <w:p>
      <w:pPr>
        <w:pStyle w:val="ListBullet"/>
        <w:spacing w:before="20" w:after="40"/>
      </w:pPr>
      <w:r>
        <w:t>$w$: Vektor bobot yang menentukan orientasi *hyperplane* pemisah di ruang Hilbert.</w:t>
      </w:r>
    </w:p>
    <w:p>
      <w:pPr>
        <w:pStyle w:val="ListBullet"/>
        <w:spacing w:before="20" w:after="40"/>
      </w:pPr>
      <w:r>
        <w:t>$\rho$: Nilai ambang (*offset* margin) yang mengukur jarak *hyperplane* dari titik asal.</w:t>
      </w:r>
    </w:p>
    <w:p>
      <w:pPr>
        <w:pStyle w:val="ListBullet"/>
        <w:spacing w:before="20" w:after="40"/>
      </w:pPr>
      <w:r>
        <w:t>$\xi_i$: Variabel kelonggaran (*slack variable*) yang mengizinkan titik tertentu berada di luar batas margin (toleransi *outlier*).</w:t>
      </w:r>
    </w:p>
    <w:p>
      <w:pPr>
        <w:pStyle w:val="ListBullet"/>
        <w:spacing w:before="20" w:after="40"/>
      </w:pPr>
      <w:r>
        <w:t>$\nu \in (0, 1]$: Parameter regularisasi kunci yang mengontrol trade-off:</w:t>
      </w:r>
    </w:p>
    <w:p>
      <w:pPr>
        <w:pStyle w:val="ListNumber"/>
        <w:spacing w:before="20" w:after="40"/>
      </w:pPr>
      <w:r>
        <w:t>Batas atas (*upper bound*) untuk proporsi *training error* (observasi yang diklasifikasikan sebagai anomali).</w:t>
      </w:r>
    </w:p>
    <w:p>
      <w:pPr>
        <w:pStyle w:val="ListNumber"/>
        <w:spacing w:before="20" w:after="40"/>
      </w:pPr>
      <w:r>
        <w:t>Batas bawah (*lower bound*) untuk jumlah *support vectors*.</w:t>
      </w:r>
    </w:p>
    <w:p>
      <w:pPr>
        <w:spacing w:before="40" w:after="80" w:line="276" w:lineRule="auto"/>
      </w:pPr>
      <w:r>
        <w:t>Melalui pengali Lagrange, formulasi dual Wolfe dirumuskan sebagai:</w:t>
      </w:r>
    </w:p>
    <w:p>
      <w:pPr>
        <w:spacing w:before="40" w:after="80" w:line="276" w:lineRule="auto"/>
      </w:pPr>
      <w:r/>
      <w:r>
        <w:rPr>
          <w:rFonts w:ascii="Cambria Math" w:hAnsi="Cambria Math"/>
          <w:i/>
        </w:rPr>
        <w:t>\min_{\alpha} \frac{1}{2} \sum_{i=1}^{n} \sum_{j=1}^{n} \alpha_i \alpha_j K(x_i, x_j)</w:t>
      </w:r>
      <w:r/>
    </w:p>
    <w:p>
      <w:pPr>
        <w:spacing w:before="40" w:after="80" w:line="276" w:lineRule="auto"/>
      </w:pPr>
      <w:r>
        <w:t xml:space="preserve">dengan kendala </w:t>
      </w:r>
      <w:r>
        <w:rPr>
          <w:rFonts w:ascii="Cambria Math" w:hAnsi="Cambria Math"/>
          <w:i/>
        </w:rPr>
        <w:t>0 \le \alpha_i \le \frac{1}{\nu n}</w:t>
      </w:r>
      <w:r>
        <w:t xml:space="preserve"> dan </w:t>
      </w:r>
      <w:r>
        <w:rPr>
          <w:rFonts w:ascii="Cambria Math" w:hAnsi="Cambria Math"/>
          <w:i/>
        </w:rPr>
        <w:t>\sum_{i=1}^{n} \alpha_i = 1</w:t>
      </w:r>
      <w:r>
        <w:t>.</w:t>
      </w:r>
    </w:p>
    <w:p>
      <w:pPr>
        <w:keepNext/>
        <w:spacing w:before="200" w:after="80"/>
      </w:pPr>
      <w:r>
        <w:rPr>
          <w:rFonts w:ascii="Calibri" w:hAnsi="Calibri"/>
          <w:b/>
          <w:color w:val="333333"/>
          <w:sz w:val="24"/>
        </w:rPr>
        <w:t>3.3 Fungsi Kernel Radial Basis Function (RBF)</w:t>
      </w:r>
    </w:p>
    <w:p>
      <w:pPr>
        <w:spacing w:before="40" w:after="80" w:line="276" w:lineRule="auto"/>
      </w:pPr>
      <w:r>
        <w:t xml:space="preserve">Fungsi kernel </w:t>
      </w:r>
      <w:r>
        <w:rPr>
          <w:i/>
        </w:rPr>
        <w:t>Radial Basis Function</w:t>
      </w:r>
      <w:r>
        <w:t xml:space="preserve"> (RBF) memungkinkan pembentukan batas keputusan non-linear yang mulus dan fleksibel:</w:t>
      </w:r>
    </w:p>
    <w:p>
      <w:pPr>
        <w:spacing w:before="40" w:after="80" w:line="276" w:lineRule="auto"/>
      </w:pPr>
      <w:r/>
      <w:r>
        <w:rPr>
          <w:rFonts w:ascii="Cambria Math" w:hAnsi="Cambria Math"/>
          <w:i/>
        </w:rPr>
        <w:t>K(x, y) = \exp\left(-\gamma ||x - y||^2\right)</w:t>
      </w:r>
      <w:r/>
    </w:p>
    <w:p>
      <w:pPr>
        <w:pStyle w:val="ListBullet"/>
        <w:spacing w:before="20" w:after="40"/>
      </w:pPr>
      <w:r>
        <w:t>Parameter $\gamma &gt; 0$ mengontrol jangkauan pengaruh dari satu contoh pelatihan ($1 / 2\sigma^2$).</w:t>
      </w:r>
    </w:p>
    <w:p>
      <w:pPr>
        <w:pStyle w:val="ListBullet"/>
        <w:spacing w:before="20" w:after="40"/>
      </w:pPr>
      <w:r>
        <w:t>Jika $\gamma$ terlalu besar, fungsi kernel menjadi sangat sempit dan lokal, menyebabkan model mengalami *overfitting* (membentuk pulau-pulau batas kecil mengelilingi setiap data).</w:t>
      </w:r>
    </w:p>
    <w:p>
      <w:pPr>
        <w:pStyle w:val="ListBullet"/>
        <w:spacing w:before="20" w:after="40"/>
      </w:pPr>
      <w:r>
        <w:t>Jika $\gamma$ terlalu kecil, fungsi kernel menjadi terlalu rata dan mendekati model linear, sehingga kehilangan kemampuan menangkap kerumitan batas non-linear.</w:t>
      </w:r>
    </w:p>
    <w:p>
      <w:pPr>
        <w:keepNext/>
        <w:spacing w:before="200" w:after="80"/>
      </w:pPr>
      <w:r>
        <w:rPr>
          <w:rFonts w:ascii="Calibri" w:hAnsi="Calibri"/>
          <w:b/>
          <w:color w:val="333333"/>
          <w:sz w:val="24"/>
        </w:rPr>
        <w:t>3.4 Decision Function &amp; Skor Anomali Kontinu</w:t>
      </w:r>
    </w:p>
    <w:p>
      <w:pPr>
        <w:spacing w:before="40" w:after="80" w:line="276" w:lineRule="auto"/>
      </w:pPr>
      <w:r>
        <w:t>Prediksi label biner ditentukan oleh fungsi keputusan (</w:t>
      </w:r>
      <w:r>
        <w:rPr>
          <w:i/>
        </w:rPr>
        <w:t>decision function</w:t>
      </w:r>
      <w:r>
        <w:t>):</w:t>
      </w:r>
    </w:p>
    <w:p>
      <w:pPr>
        <w:spacing w:before="40" w:after="80" w:line="276" w:lineRule="auto"/>
      </w:pPr>
      <w:r/>
      <w:r>
        <w:rPr>
          <w:rFonts w:ascii="Cambria Math" w:hAnsi="Cambria Math"/>
          <w:i/>
        </w:rPr>
        <w:t>f(x) = \text{sign}\left(\sum_{i=1}^{n} \alpha_i K(x_i, x) - \rho\right)</w:t>
      </w:r>
      <w:r/>
    </w:p>
    <w:p>
      <w:pPr>
        <w:pStyle w:val="ListBullet"/>
        <w:spacing w:before="20" w:after="40"/>
      </w:pPr>
      <w:r>
        <w:t>$f(x) = +1$: Observasi berada di dalam kontur batas normal (</w:t>
      </w:r>
      <w:r>
        <w:rPr>
          <w:b/>
        </w:rPr>
        <w:t>Normal</w:t>
      </w:r>
      <w:r>
        <w:t>).</w:t>
      </w:r>
    </w:p>
    <w:p>
      <w:pPr>
        <w:pStyle w:val="ListBullet"/>
        <w:spacing w:before="20" w:after="40"/>
      </w:pPr>
      <w:r>
        <w:t>$f(x) = -1$: Observasi berada di luar kontur batas normal (</w:t>
      </w:r>
      <w:r>
        <w:rPr>
          <w:b/>
        </w:rPr>
        <w:t>Anomali / Krisis</w:t>
      </w:r>
      <w:r>
        <w:t>).</w:t>
      </w:r>
    </w:p>
    <w:p>
      <w:pPr>
        <w:spacing w:before="40" w:after="80" w:line="276" w:lineRule="auto"/>
      </w:pPr>
      <w:r>
        <w:t>Skor anomali kontinu dihitung dari jarak negatif terhadap margin:</w:t>
      </w:r>
    </w:p>
    <w:p>
      <w:pPr>
        <w:spacing w:before="40" w:after="80" w:line="276" w:lineRule="auto"/>
      </w:pPr>
      <w:r/>
      <w:r>
        <w:rPr>
          <w:rFonts w:ascii="Cambria Math" w:hAnsi="Cambria Math"/>
          <w:i/>
        </w:rPr>
        <w:t>\text{ocsvm\_score}(x) = - \left(\sum_{i=1}^{n} \alpha_i K(x_i, x) - \rho\right)</w:t>
      </w:r>
      <w:r/>
    </w:p>
    <w:p>
      <w:pPr>
        <w:spacing w:before="40" w:after="80" w:line="276" w:lineRule="auto"/>
      </w:pPr>
      <w:r>
        <w:t xml:space="preserve">Semakin tinggi/positif nilai </w:t>
      </w:r>
      <w:r>
        <w:rPr>
          <w:rFonts w:ascii="Cambria Math" w:hAnsi="Cambria Math"/>
          <w:i/>
        </w:rPr>
        <w:t>\text{ocsvm\_score}(x)</w:t>
      </w:r>
      <w:r>
        <w:t>, semakin jauh observasi tersebut menyimpang ke luar dari batas keputusan normal, mengindikasikan tingkat kerentanan makroekonomi yang semakin tinggi.</w:t>
      </w:r>
    </w:p>
    <w:p>
      <w:pPr>
        <w:spacing w:before="120" w:after="120"/>
        <w:pBdr>
          <w:bottom w:val="single" w:sz="6" w:space="1" w:color="CCCCCC"/>
        </w:pBdr>
      </w:pPr>
    </w:p>
    <w:p>
      <w:pPr>
        <w:keepNext/>
        <w:spacing w:before="280" w:after="120"/>
      </w:pPr>
      <w:r>
        <w:rPr>
          <w:rFonts w:ascii="Calibri" w:hAnsi="Calibri"/>
          <w:b/>
          <w:color w:val="2E5B88"/>
          <w:sz w:val="28"/>
        </w:rPr>
        <w:t>4. Metodologi Data &amp; Pipeline Preprocessing Komprehensif</w:t>
      </w:r>
    </w:p>
    <w:p>
      <w:pPr>
        <w:keepNext/>
        <w:spacing w:before="200" w:after="80"/>
      </w:pPr>
      <w:r>
        <w:rPr>
          <w:rFonts w:ascii="Calibri" w:hAnsi="Calibri"/>
          <w:b/>
          <w:color w:val="333333"/>
          <w:sz w:val="24"/>
        </w:rPr>
        <w:t>4.1 Spesifikasi Dataset &amp; Sumber Data</w:t>
      </w:r>
    </w:p>
    <w:p>
      <w:pPr>
        <w:spacing w:before="40" w:after="80" w:line="276" w:lineRule="auto"/>
      </w:pPr>
      <w:r>
        <w:t xml:space="preserve">Dataset penelitian disusun dari </w:t>
      </w:r>
      <w:r>
        <w:rPr>
          <w:b/>
        </w:rPr>
        <w:t>World Bank Open Data API</w:t>
      </w:r>
      <w:r>
        <w:t xml:space="preserve"> (</w:t>
      </w:r>
      <w:r>
        <w:rPr>
          <w:rFonts w:ascii="Consolas" w:hAnsi="Consolas"/>
          <w:color w:val="8B0000"/>
          <w:sz w:val="19"/>
        </w:rPr>
        <w:t>raw_data_master.csv</w:t>
      </w:r>
      <w:r>
        <w:t xml:space="preserve">) dan dikombinasikan dengan variabel </w:t>
      </w:r>
      <w:r>
        <w:rPr>
          <w:i/>
        </w:rPr>
        <w:t>ground truth</w:t>
      </w:r>
      <w:r>
        <w:t xml:space="preserve"> dari publikasi krisis </w:t>
      </w:r>
      <w:r>
        <w:rPr>
          <w:b/>
        </w:rPr>
        <w:t>International Monetary Fund (IMF)</w:t>
      </w:r>
      <w:r>
        <w:t xml:space="preserve"> (</w:t>
      </w:r>
      <w:r>
        <w:rPr>
          <w:rFonts w:ascii="Consolas" w:hAnsi="Consolas"/>
          <w:color w:val="8B0000"/>
          <w:sz w:val="19"/>
        </w:rPr>
        <w:t>ground_truth_imf.csv</w:t>
      </w:r>
      <w:r>
        <w:t>).</w:t>
      </w:r>
    </w:p>
    <w:tbl>
      <w:tblPr>
        <w:tblW w:type="auto" w:w="0"/>
        <w:jc w:val="center"/>
        <w:tblLook w:firstColumn="1" w:firstRow="1" w:lastColumn="0" w:lastRow="0" w:noHBand="0" w:noVBand="1" w:val="04A0"/>
        <w:tblBorders>
          <w:top w:val="single" w:sz="4" w:space="0" w:color="D3D3D3"/>
          <w:left w:val="none"/>
          <w:bottom w:val="single" w:sz="6" w:space="0" w:color="1F4E78"/>
          <w:right w:val="none"/>
          <w:insideH w:val="single" w:sz="4" w:space="0" w:color="D3D3D3"/>
          <w:insideV w:val="none"/>
        </w:tblBorders>
      </w:tblPr>
      <w:tblGrid>
        <w:gridCol w:w="4680"/>
        <w:gridCol w:w="4680"/>
      </w:tblGrid>
      <w:tr>
        <w:tc>
          <w:tcPr>
            <w:tcW w:type="dxa" w:w="4680"/>
            <w:tcMar>
              <w:top w:w="100" w:type="dxa"/>
              <w:bottom w:w="100" w:type="dxa"/>
              <w:left w:w="120" w:type="dxa"/>
              <w:right w:w="120" w:type="dxa"/>
            </w:tcMar>
            <w:shd w:fill="1F4E78"/>
          </w:tcPr>
          <w:p>
            <w:pPr>
              <w:spacing w:before="40" w:after="40"/>
            </w:pPr>
            <w:r>
              <w:rPr>
                <w:rFonts w:ascii="Calibri" w:hAnsi="Calibri"/>
                <w:b/>
                <w:color w:val="FFFFFF"/>
                <w:sz w:val="20"/>
              </w:rPr>
              <w:t>Parameter</w:t>
            </w:r>
          </w:p>
        </w:tc>
        <w:tc>
          <w:tcPr>
            <w:tcW w:type="dxa" w:w="4680"/>
            <w:tcMar>
              <w:top w:w="100" w:type="dxa"/>
              <w:bottom w:w="100" w:type="dxa"/>
              <w:left w:w="120" w:type="dxa"/>
              <w:right w:w="120" w:type="dxa"/>
            </w:tcMar>
            <w:shd w:fill="1F4E78"/>
          </w:tcPr>
          <w:p>
            <w:pPr>
              <w:spacing w:before="40" w:after="40"/>
            </w:pPr>
            <w:r>
              <w:rPr>
                <w:rFonts w:ascii="Calibri" w:hAnsi="Calibri"/>
                <w:b/>
                <w:color w:val="FFFFFF"/>
                <w:sz w:val="20"/>
              </w:rPr>
              <w:t>Spesifikasi</w:t>
            </w:r>
          </w:p>
        </w:tc>
      </w:tr>
      <w:tr>
        <w:tc>
          <w:tcPr>
            <w:tcW w:type="dxa" w:w="4680"/>
            <w:tcMar>
              <w:top w:w="100" w:type="dxa"/>
              <w:bottom w:w="100" w:type="dxa"/>
              <w:left w:w="120" w:type="dxa"/>
              <w:right w:w="120" w:type="dxa"/>
            </w:tcMar>
            <w:shd w:fill="F2F4F7"/>
          </w:tcPr>
          <w:p>
            <w:pPr>
              <w:spacing w:before="40" w:after="40"/>
            </w:pPr>
            <w:r>
              <w:rPr>
                <w:rFonts w:ascii="Calibri" w:hAnsi="Calibri"/>
                <w:color w:val="262626"/>
                <w:sz w:val="20"/>
              </w:rPr>
              <w:t>**Total Observasi**</w:t>
            </w:r>
          </w:p>
        </w:tc>
        <w:tc>
          <w:tcPr>
            <w:tcW w:type="dxa" w:w="4680"/>
            <w:tcMar>
              <w:top w:w="100" w:type="dxa"/>
              <w:bottom w:w="100" w:type="dxa"/>
              <w:left w:w="120" w:type="dxa"/>
              <w:right w:w="120" w:type="dxa"/>
            </w:tcMar>
            <w:shd w:fill="F2F4F7"/>
          </w:tcPr>
          <w:p>
            <w:pPr>
              <w:spacing w:before="40" w:after="40"/>
            </w:pPr>
            <w:r>
              <w:rPr>
                <w:rFonts w:ascii="Calibri" w:hAnsi="Calibri"/>
                <w:color w:val="262626"/>
                <w:sz w:val="20"/>
              </w:rPr>
              <w:t>1.715 baris (49 negara × 35 tahun)</w:t>
            </w:r>
          </w:p>
        </w:tc>
      </w:tr>
      <w:tr>
        <w:tc>
          <w:tcPr>
            <w:tcW w:type="dxa" w:w="4680"/>
            <w:tcMar>
              <w:top w:w="100" w:type="dxa"/>
              <w:bottom w:w="100" w:type="dxa"/>
              <w:left w:w="120" w:type="dxa"/>
              <w:right w:w="120" w:type="dxa"/>
            </w:tcMar>
          </w:tcPr>
          <w:p>
            <w:pPr>
              <w:spacing w:before="40" w:after="40"/>
            </w:pPr>
            <w:r>
              <w:rPr>
                <w:rFonts w:ascii="Calibri" w:hAnsi="Calibri"/>
                <w:color w:val="262626"/>
                <w:sz w:val="20"/>
              </w:rPr>
              <w:t>**Rentang Waktu**</w:t>
            </w:r>
          </w:p>
        </w:tc>
        <w:tc>
          <w:tcPr>
            <w:tcW w:type="dxa" w:w="4680"/>
            <w:tcMar>
              <w:top w:w="100" w:type="dxa"/>
              <w:bottom w:w="100" w:type="dxa"/>
              <w:left w:w="120" w:type="dxa"/>
              <w:right w:w="120" w:type="dxa"/>
            </w:tcMar>
          </w:tcPr>
          <w:p>
            <w:pPr>
              <w:spacing w:before="40" w:after="40"/>
            </w:pPr>
            <w:r>
              <w:rPr>
                <w:rFonts w:ascii="Calibri" w:hAnsi="Calibri"/>
                <w:color w:val="262626"/>
                <w:sz w:val="20"/>
              </w:rPr>
              <w:t>1990 – 2024</w:t>
            </w:r>
          </w:p>
        </w:tc>
      </w:tr>
      <w:tr>
        <w:tc>
          <w:tcPr>
            <w:tcW w:type="dxa" w:w="4680"/>
            <w:tcMar>
              <w:top w:w="100" w:type="dxa"/>
              <w:bottom w:w="100" w:type="dxa"/>
              <w:left w:w="120" w:type="dxa"/>
              <w:right w:w="120" w:type="dxa"/>
            </w:tcMar>
            <w:shd w:fill="F2F4F7"/>
          </w:tcPr>
          <w:p>
            <w:pPr>
              <w:spacing w:before="40" w:after="40"/>
            </w:pPr>
            <w:r>
              <w:rPr>
                <w:rFonts w:ascii="Calibri" w:hAnsi="Calibri"/>
                <w:color w:val="262626"/>
                <w:sz w:val="20"/>
              </w:rPr>
              <w:t>**Jumlah Negara**</w:t>
            </w:r>
          </w:p>
        </w:tc>
        <w:tc>
          <w:tcPr>
            <w:tcW w:type="dxa" w:w="4680"/>
            <w:tcMar>
              <w:top w:w="100" w:type="dxa"/>
              <w:bottom w:w="100" w:type="dxa"/>
              <w:left w:w="120" w:type="dxa"/>
              <w:right w:w="120" w:type="dxa"/>
            </w:tcMar>
            <w:shd w:fill="F2F4F7"/>
          </w:tcPr>
          <w:p>
            <w:pPr>
              <w:spacing w:before="40" w:after="40"/>
            </w:pPr>
            <w:r>
              <w:rPr>
                <w:rFonts w:ascii="Calibri" w:hAnsi="Calibri"/>
                <w:color w:val="262626"/>
                <w:sz w:val="20"/>
              </w:rPr>
              <w:t>49 negara dari 8 kawasan ekonomi utama global</w:t>
            </w:r>
          </w:p>
        </w:tc>
      </w:tr>
      <w:tr>
        <w:tc>
          <w:tcPr>
            <w:tcW w:type="dxa" w:w="4680"/>
            <w:tcMar>
              <w:top w:w="100" w:type="dxa"/>
              <w:bottom w:w="100" w:type="dxa"/>
              <w:left w:w="120" w:type="dxa"/>
              <w:right w:w="120" w:type="dxa"/>
            </w:tcMar>
          </w:tcPr>
          <w:p>
            <w:pPr>
              <w:spacing w:before="40" w:after="40"/>
            </w:pPr>
            <w:r>
              <w:rPr>
                <w:rFonts w:ascii="Calibri" w:hAnsi="Calibri"/>
                <w:color w:val="262626"/>
                <w:sz w:val="20"/>
              </w:rPr>
              <w:t>**Variabel Ground Truth**</w:t>
            </w:r>
          </w:p>
        </w:tc>
        <w:tc>
          <w:tcPr>
            <w:tcW w:type="dxa" w:w="4680"/>
            <w:tcMar>
              <w:top w:w="100" w:type="dxa"/>
              <w:bottom w:w="100" w:type="dxa"/>
              <w:left w:w="120" w:type="dxa"/>
              <w:right w:w="120" w:type="dxa"/>
            </w:tcMar>
          </w:tcPr>
          <w:p>
            <w:pPr>
              <w:spacing w:before="40" w:after="40"/>
            </w:pPr>
            <w:r>
              <w:rPr>
                <w:rFonts w:ascii="Calibri" w:hAnsi="Calibri"/>
                <w:color w:val="262626"/>
                <w:sz w:val="20"/>
              </w:rPr>
              <w:t>`crisis_label` (1 = Krisis, 0 = Normal; 229 observasi krisis, prevalensi 13.35%)</w:t>
            </w:r>
          </w:p>
        </w:tc>
      </w:tr>
    </w:tbl>
    <w:p/>
    <w:p>
      <w:pPr>
        <w:keepNext/>
        <w:spacing w:before="200" w:after="80"/>
      </w:pPr>
      <w:r>
        <w:rPr>
          <w:rFonts w:ascii="Calibri" w:hAnsi="Calibri"/>
          <w:b/>
          <w:color w:val="333333"/>
          <w:sz w:val="24"/>
        </w:rPr>
        <w:t>4.2 Penjelasan 14 Indikator Makroekonomi</w:t>
      </w:r>
    </w:p>
    <w:p>
      <w:pPr>
        <w:spacing w:before="40" w:after="80" w:line="276" w:lineRule="auto"/>
      </w:pPr>
      <w:r>
        <w:t>Sebanyak 14 variabel ekonomi makro yang sensitif terhadap guncangan eksternal dan finansial dipilih sebagai fitur masukan:</w:t>
      </w:r>
    </w:p>
    <w:p>
      <w:pPr>
        <w:pStyle w:val="ListNumber"/>
        <w:spacing w:before="20" w:after="40"/>
      </w:pPr>
      <w:r>
        <w:t>`GDP_Growth`: Pertumbuhan PDB riil tahunan (%). Mengukur laju ekspansi atau kontraksi aktivitas ekonomi agregat.</w:t>
      </w:r>
    </w:p>
    <w:p>
      <w:pPr>
        <w:pStyle w:val="ListNumber"/>
        <w:spacing w:before="20" w:after="40"/>
      </w:pPr>
      <w:r>
        <w:t>`Inflation_CPI`: Inflasi berdasarkan Indeks Harga Konsumen (%). Mengukur gejolak harga barang dan jasa serta stabilitas moneter.</w:t>
      </w:r>
    </w:p>
    <w:p>
      <w:pPr>
        <w:pStyle w:val="ListNumber"/>
        <w:spacing w:before="20" w:after="40"/>
      </w:pPr>
      <w:r>
        <w:t>`Unemployment`: Tingkat pengangguran terbuka terhadap total angkatan kerja (%). Mengukur kesehatan pasar tenaga kerja.</w:t>
      </w:r>
    </w:p>
    <w:p>
      <w:pPr>
        <w:pStyle w:val="ListNumber"/>
        <w:spacing w:before="20" w:after="40"/>
      </w:pPr>
      <w:r>
        <w:t>`Current_Account_GDP`: Neraca transaksi berjalan terhadap PDB (%). Indikator utama keseimbangan eksternal dan posisi utang luar negeri.</w:t>
      </w:r>
    </w:p>
    <w:p>
      <w:pPr>
        <w:pStyle w:val="ListNumber"/>
        <w:spacing w:before="20" w:after="40"/>
      </w:pPr>
      <w:r>
        <w:t>`Reserves_Months_Imports`: Cadangan devisa dalam satuan bulan impor barang dan jasa. Mengukur ketahanan likuiditas eksternal negara terhadap guncangan neraca pembayaran.</w:t>
      </w:r>
    </w:p>
    <w:p>
      <w:pPr>
        <w:pStyle w:val="ListNumber"/>
        <w:spacing w:before="20" w:after="40"/>
      </w:pPr>
      <w:r>
        <w:t>`Exchange_Depreciation`: Persentase depresiasi/apresiasi nilai tukar mata uang resmi terhadap USD tahunan (%). Mengukur tekanan pasar valuta asing.</w:t>
      </w:r>
    </w:p>
    <w:p>
      <w:pPr>
        <w:pStyle w:val="ListNumber"/>
        <w:spacing w:before="20" w:after="40"/>
      </w:pPr>
      <w:r>
        <w:t>`FDI_Inflows_GDP`: Arus masuk Investasi Asing Langsung (*Foreign Direct Investment*) terhadap PDB (%). Mengukur daya tarik investasi jangka panjang.</w:t>
      </w:r>
    </w:p>
    <w:p>
      <w:pPr>
        <w:pStyle w:val="ListNumber"/>
        <w:spacing w:before="20" w:after="40"/>
      </w:pPr>
      <w:r>
        <w:t>`Exports_GDP`: Rasio ekspor barang dan jasa terhadap PDB (%). Mengukur keterbukaan eksternal dan ketergantungan pada pasar luar negeri.</w:t>
      </w:r>
    </w:p>
    <w:p>
      <w:pPr>
        <w:pStyle w:val="ListNumber"/>
        <w:spacing w:before="20" w:after="40"/>
      </w:pPr>
      <w:r>
        <w:t>`Imports_GDP`: Rasio impor barang dan jasa terhadap PDB (%). Mengukur tingkat konsumsi barang luar negeri dan ketergantungan pasokan.</w:t>
      </w:r>
    </w:p>
    <w:p>
      <w:pPr>
        <w:pStyle w:val="ListNumber"/>
        <w:spacing w:before="20" w:after="40"/>
      </w:pPr>
      <w:r>
        <w:t>`Gross_Savings_GDP`: Rasio tabungan bruto terhadap PDB (%). Mengukur kemampuan domestik dalam membiayai investasi.</w:t>
      </w:r>
    </w:p>
    <w:p>
      <w:pPr>
        <w:pStyle w:val="ListNumber"/>
        <w:spacing w:before="20" w:after="40"/>
      </w:pPr>
      <w:r>
        <w:t>`Investment_GDP`: Rasio pembentukan modal tetap bruto terhadap PDB (%). Mengukur laju akumulasi modal fisik dan investasi jangka panjang.</w:t>
      </w:r>
    </w:p>
    <w:p>
      <w:pPr>
        <w:pStyle w:val="ListNumber"/>
        <w:spacing w:before="20" w:after="40"/>
      </w:pPr>
      <w:r>
        <w:t>`Manufacturing_Value`: Kontribusi sektor manufaktur terhadap PDB (%). Mengukur struktur riil perekonomian.</w:t>
      </w:r>
    </w:p>
    <w:p>
      <w:pPr>
        <w:pStyle w:val="ListNumber"/>
        <w:spacing w:before="20" w:after="40"/>
      </w:pPr>
      <w:r>
        <w:t>`Domestic_Credit_GDP`: Kredit sektor swasta domestik terhadap PDB (%). Indikator kunci kedalaman finansial dan potensi gelembung kredit (*credit boom/bust*).</w:t>
      </w:r>
    </w:p>
    <w:p>
      <w:pPr>
        <w:pStyle w:val="ListNumber"/>
        <w:spacing w:before="20" w:after="40"/>
      </w:pPr>
      <w:r>
        <w:t>`Broad_Money_Growth`: Pertumbuhan jumlah uang beredar luas (M2) tahunan (%). Mengukur laju ekspansi likuiditas moneter domestik.</w:t>
      </w:r>
    </w:p>
    <w:p>
      <w:pPr>
        <w:keepNext/>
        <w:spacing w:before="200" w:after="80"/>
      </w:pPr>
      <w:r>
        <w:rPr>
          <w:rFonts w:ascii="Calibri" w:hAnsi="Calibri"/>
          <w:b/>
          <w:color w:val="333333"/>
          <w:sz w:val="24"/>
        </w:rPr>
        <w:t>4.3 Alur Preprocessing Terstandar</w:t>
      </w:r>
    </w:p>
    <w:p>
      <w:pPr>
        <w:spacing w:before="80" w:after="160"/>
        <w:ind w:left="288" w:right="288"/>
      </w:pPr>
      <w:r>
        <w:rPr>
          <w:rFonts w:ascii="Consolas" w:hAnsi="Consolas"/>
          <w:color w:val="333333"/>
          <w:sz w:val="19"/>
        </w:rPr>
        <w:t>┌────────────────────────────────────────────────────────┐</w:t>
        <w:br/>
        <w:t>│ 1. Pemuatan &amp; Penggabungan Data                        │</w:t>
        <w:br/>
        <w:t>│    raw_data_master.csv (1.715 x 16) + ground_truth_imf │</w:t>
        <w:br/>
        <w:t>└───────────────────────────┬────────────────────────────┘</w:t>
        <w:br/>
        <w:t xml:space="preserve">                            │</w:t>
        <w:br/>
        <w:t xml:space="preserve">                            ▼</w:t>
        <w:br/>
        <w:t>┌────────────────────────────────────────────────────────┐</w:t>
        <w:br/>
        <w:t>│ 2. Pengurutan Kronologis &amp; Feature Engineering          │</w:t>
        <w:br/>
        <w:t>│    Sort by ['economy', 'year']                         │</w:t>
        <w:br/>
        <w:t>│    Exchange_Depreciation = pct_change() * 100 per cty  │</w:t>
        <w:br/>
        <w:t>│    Drop nominal Exchange_Rate                          │</w:t>
        <w:br/>
        <w:t>└───────────────────────────┬────────────────────────────┘</w:t>
        <w:br/>
        <w:t xml:space="preserve">                            │</w:t>
        <w:br/>
        <w:t xml:space="preserve">                            ▼</w:t>
        <w:br/>
        <w:t>┌────────────────────────────────────────────────────────┐</w:t>
        <w:br/>
        <w:t>│ 3. Imputasi Missing Value Multi-Tahap                   │</w:t>
        <w:br/>
        <w:t>│    - Linear Interpolation per negara                   │</w:t>
        <w:br/>
        <w:t>│    - Median per negara (batas deret waktu)             │</w:t>
        <w:br/>
        <w:t>│    - KNNImputer (n_neighbors=5) -&gt; 0 Missing Value     │</w:t>
        <w:br/>
        <w:t>└───────────────────────────┬────────────────────────────┘</w:t>
        <w:br/>
        <w:t xml:space="preserve">                            │</w:t>
        <w:br/>
        <w:t xml:space="preserve">                            ▼</w:t>
        <w:br/>
        <w:t>┌────────────────────────────────────────────────────────┐</w:t>
        <w:br/>
        <w:t>│ 4. Penskalaan Fitur (StandardScaler)                   │</w:t>
        <w:br/>
        <w:t>│    z = (x - μ) / σ -&gt; Mean ≈ 0, Std = 1                │</w:t>
        <w:br/>
        <w:t>└────────────────────────────────────────────────────────┘</w:t>
      </w:r>
    </w:p>
    <w:p>
      <w:pPr>
        <w:keepNext/>
        <w:spacing w:before="160" w:after="40"/>
      </w:pPr>
      <w:r>
        <w:rPr>
          <w:rFonts w:ascii="Calibri" w:hAnsi="Calibri"/>
          <w:b/>
          <w:color w:val="555555"/>
          <w:sz w:val="22"/>
        </w:rPr>
        <w:t>Rincian Langkah Preprocessing:</w:t>
      </w:r>
    </w:p>
    <w:p>
      <w:pPr>
        <w:pStyle w:val="ListNumber"/>
        <w:spacing w:before="20" w:after="40"/>
      </w:pPr>
      <w:r/>
      <w:r>
        <w:rPr>
          <w:b/>
        </w:rPr>
        <w:t>Transformasi Persen Depresiasi Kurs (`Exchange_Depreciation`)</w:t>
      </w:r>
      <w:r>
        <w:t>:</w:t>
      </w:r>
    </w:p>
    <w:p>
      <w:pPr>
        <w:spacing w:before="40" w:after="80" w:line="276" w:lineRule="auto"/>
      </w:pPr>
      <w:r>
        <w:t>Penggunaan nilai nominal mata uang mentah (seperti Rupiah ~15.000, Yen ~150, atau Dong ~24.000) akan merusak pemodelan berbasis jarak/boundary karena perbedaan skala nominal yang ekstrem. Oleh karena itu, variabel diubah menjadi persen perubahan tahunan:</w:t>
      </w:r>
    </w:p>
    <w:p>
      <w:pPr>
        <w:spacing w:before="40" w:after="80" w:line="276" w:lineRule="auto"/>
      </w:pPr>
      <w:r/>
      <w:r>
        <w:rPr>
          <w:rFonts w:ascii="Cambria Math" w:hAnsi="Cambria Math"/>
          <w:i/>
        </w:rPr>
        <w:t>Exchange\_Depreciation_{i,t} = \frac{Exchange\_Rate_{i,t} - Exchange\_Rate_{i,t-1}}{Exchange\_Rate_{i,t-1}} \times 100</w:t>
      </w:r>
      <w:r/>
    </w:p>
    <w:p>
      <w:pPr>
        <w:pStyle w:val="ListNumber"/>
        <w:spacing w:before="20" w:after="40"/>
      </w:pPr>
      <w:r/>
      <w:r>
        <w:rPr>
          <w:b/>
        </w:rPr>
        <w:t>Pengurutan Kronologis</w:t>
      </w:r>
      <w:r>
        <w:t>: Data diurutkan berdasarkan `['economy', 'year']` untuk memastikan interpolasi dan perhitungan persentase perubahan berjalan tepat secara deret waktu.</w:t>
      </w:r>
    </w:p>
    <w:p>
      <w:pPr>
        <w:pStyle w:val="ListNumber"/>
        <w:spacing w:before="20" w:after="40"/>
      </w:pPr>
      <w:r/>
      <w:r>
        <w:rPr>
          <w:b/>
        </w:rPr>
        <w:t>Imputasi Linear &amp; KNN</w:t>
      </w:r>
      <w:r>
        <w:t>:</w:t>
      </w:r>
    </w:p>
    <w:p>
      <w:pPr>
        <w:pStyle w:val="ListBullet"/>
        <w:spacing w:before="20" w:after="40"/>
      </w:pPr>
      <w:r>
        <w:t>Interpolasi linear per negara dilakukan untuk mengisi celah data di pertengahan rentang waktu: `df.groupby('economy')[col].transform(lambda x: x.interpolate(method='linear', limit_direction='both'))`.</w:t>
      </w:r>
    </w:p>
    <w:p>
      <w:pPr>
        <w:pStyle w:val="ListBullet"/>
        <w:spacing w:before="20" w:after="40"/>
      </w:pPr>
      <w:r>
        <w:t>Nilai kosong di batas awal (tahun 1990) diisi menggunakan median per negara.</w:t>
      </w:r>
    </w:p>
    <w:p>
      <w:pPr>
        <w:pStyle w:val="ListBullet"/>
        <w:spacing w:before="20" w:after="40"/>
      </w:pPr>
      <w:r>
        <w:t xml:space="preserve">`KNNImputer(n_neighbors=5)` diterapkan sebagai jaminan akhir sehingga </w:t>
      </w:r>
      <w:r>
        <w:rPr>
          <w:b/>
        </w:rPr>
        <w:t>0 missing value tersisa</w:t>
      </w:r>
      <w:r>
        <w:t>.</w:t>
      </w:r>
    </w:p>
    <w:p>
      <w:pPr>
        <w:pStyle w:val="ListNumber"/>
        <w:spacing w:before="20" w:after="40"/>
      </w:pPr>
      <w:r/>
      <w:r>
        <w:rPr>
          <w:b/>
        </w:rPr>
        <w:t>Standardisasi Z-Score</w:t>
      </w:r>
      <w:r>
        <w:t>: Fitur dinormalisasi menggunakan `StandardScaler()` agar seluruh indikator berada pada skala rata-rata 0 dan deviasi standar 1.</w:t>
      </w:r>
    </w:p>
    <w:p>
      <w:pPr>
        <w:spacing w:before="120" w:after="120"/>
        <w:pBdr>
          <w:bottom w:val="single" w:sz="6" w:space="1" w:color="CCCCCC"/>
        </w:pBdr>
      </w:pPr>
    </w:p>
    <w:p>
      <w:pPr>
        <w:keepNext/>
        <w:spacing w:before="280" w:after="120"/>
      </w:pPr>
      <w:r>
        <w:rPr>
          <w:rFonts w:ascii="Calibri" w:hAnsi="Calibri"/>
          <w:b/>
          <w:color w:val="2E5B88"/>
          <w:sz w:val="28"/>
        </w:rPr>
        <w:t>5. Kalibrasi Parameter &amp; Analisis Grid Search</w:t>
      </w:r>
    </w:p>
    <w:p>
      <w:pPr>
        <w:spacing w:before="40" w:after="80" w:line="276" w:lineRule="auto"/>
      </w:pPr>
      <w:r>
        <w:t>Evaluasi ekstensif dilakukan terhadap 64 kombinasi hyperparameter (</w:t>
      </w:r>
      <w:r>
        <w:rPr>
          <w:rFonts w:ascii="Cambria Math" w:hAnsi="Cambria Math"/>
          <w:i/>
        </w:rPr>
        <w:t>\nu \in [0.01, 0.05, 0.08, 0.10, 0.1335, 0.15, 0.20, 0.25]</w:t>
      </w:r>
      <w:r>
        <w:t xml:space="preserve"> dan </w:t>
      </w:r>
      <w:r>
        <w:rPr>
          <w:rFonts w:ascii="Cambria Math" w:hAnsi="Cambria Math"/>
          <w:i/>
        </w:rPr>
        <w:t>\gamma \in [\text{'scale'}, \text{'auto'}, 0.001, 0.01, 0.05, 0.1, 0.5, 1.0]</w:t>
      </w:r>
      <w:r>
        <w:t>).</w:t>
      </w:r>
    </w:p>
    <w:p>
      <w:pPr>
        <w:keepNext/>
        <w:spacing w:before="200" w:after="80"/>
      </w:pPr>
      <w:r>
        <w:rPr>
          <w:rFonts w:ascii="Calibri" w:hAnsi="Calibri"/>
          <w:b/>
          <w:color w:val="333333"/>
          <w:sz w:val="24"/>
        </w:rPr>
        <w:t>Tabel Top 10 Hasil Grid Search:</w:t>
      </w:r>
    </w:p>
    <w:tbl>
      <w:tblPr>
        <w:tblW w:type="auto" w:w="0"/>
        <w:jc w:val="center"/>
        <w:tblLook w:firstColumn="1" w:firstRow="1" w:lastColumn="0" w:lastRow="0" w:noHBand="0" w:noVBand="1" w:val="04A0"/>
        <w:tblBorders>
          <w:top w:val="single" w:sz="4" w:space="0" w:color="D3D3D3"/>
          <w:left w:val="none"/>
          <w:bottom w:val="single" w:sz="6" w:space="0" w:color="1F4E78"/>
          <w:right w:val="none"/>
          <w:insideH w:val="single" w:sz="4" w:space="0" w:color="D3D3D3"/>
          <w:insideV w:val="none"/>
        </w:tblBorders>
      </w:tblPr>
      <w:tblGrid>
        <w:gridCol w:w="936"/>
        <w:gridCol w:w="936"/>
        <w:gridCol w:w="936"/>
        <w:gridCol w:w="936"/>
        <w:gridCol w:w="936"/>
        <w:gridCol w:w="936"/>
        <w:gridCol w:w="936"/>
        <w:gridCol w:w="936"/>
        <w:gridCol w:w="936"/>
        <w:gridCol w:w="936"/>
      </w:tblGrid>
      <w:tr>
        <w:tc>
          <w:tcPr>
            <w:tcW w:type="dxa" w:w="936"/>
            <w:tcMar>
              <w:top w:w="100" w:type="dxa"/>
              <w:bottom w:w="100" w:type="dxa"/>
              <w:left w:w="120" w:type="dxa"/>
              <w:right w:w="120" w:type="dxa"/>
            </w:tcMar>
            <w:shd w:fill="1F4E78"/>
          </w:tcPr>
          <w:p>
            <w:pPr>
              <w:spacing w:before="40" w:after="40"/>
            </w:pPr>
            <w:r>
              <w:rPr>
                <w:rFonts w:ascii="Calibri" w:hAnsi="Calibri"/>
                <w:b/>
                <w:color w:val="FFFFFF"/>
                <w:sz w:val="20"/>
              </w:rPr>
              <w:t>Rank</w:t>
            </w:r>
          </w:p>
        </w:tc>
        <w:tc>
          <w:tcPr>
            <w:tcW w:type="dxa" w:w="936"/>
            <w:tcMar>
              <w:top w:w="100" w:type="dxa"/>
              <w:bottom w:w="100" w:type="dxa"/>
              <w:left w:w="120" w:type="dxa"/>
              <w:right w:w="120" w:type="dxa"/>
            </w:tcMar>
            <w:shd w:fill="1F4E78"/>
          </w:tcPr>
          <w:p>
            <w:pPr>
              <w:spacing w:before="40" w:after="40"/>
            </w:pPr>
            <w:r>
              <w:rPr>
                <w:rFonts w:ascii="Calibri" w:hAnsi="Calibri"/>
                <w:b/>
                <w:color w:val="FFFFFF"/>
                <w:sz w:val="20"/>
              </w:rPr>
              <w:t>nu</w:t>
            </w:r>
          </w:p>
        </w:tc>
        <w:tc>
          <w:tcPr>
            <w:tcW w:type="dxa" w:w="936"/>
            <w:tcMar>
              <w:top w:w="100" w:type="dxa"/>
              <w:bottom w:w="100" w:type="dxa"/>
              <w:left w:w="120" w:type="dxa"/>
              <w:right w:w="120" w:type="dxa"/>
            </w:tcMar>
            <w:shd w:fill="1F4E78"/>
          </w:tcPr>
          <w:p>
            <w:pPr>
              <w:spacing w:before="40" w:after="40"/>
            </w:pPr>
            <w:r>
              <w:rPr>
                <w:rFonts w:ascii="Calibri" w:hAnsi="Calibri"/>
                <w:b/>
                <w:color w:val="FFFFFF"/>
                <w:sz w:val="20"/>
              </w:rPr>
              <w:t>gamma</w:t>
            </w:r>
          </w:p>
        </w:tc>
        <w:tc>
          <w:tcPr>
            <w:tcW w:type="dxa" w:w="936"/>
            <w:tcMar>
              <w:top w:w="100" w:type="dxa"/>
              <w:bottom w:w="100" w:type="dxa"/>
              <w:left w:w="120" w:type="dxa"/>
              <w:right w:w="120" w:type="dxa"/>
            </w:tcMar>
            <w:shd w:fill="1F4E78"/>
          </w:tcPr>
          <w:p>
            <w:pPr>
              <w:spacing w:before="40" w:after="40"/>
            </w:pPr>
            <w:r>
              <w:rPr>
                <w:rFonts w:ascii="Calibri" w:hAnsi="Calibri"/>
                <w:b/>
                <w:color w:val="FFFFFF"/>
                <w:sz w:val="20"/>
              </w:rPr>
              <w:t>Anomali Terdeteksi</w:t>
            </w:r>
          </w:p>
        </w:tc>
        <w:tc>
          <w:tcPr>
            <w:tcW w:type="dxa" w:w="936"/>
            <w:tcMar>
              <w:top w:w="100" w:type="dxa"/>
              <w:bottom w:w="100" w:type="dxa"/>
              <w:left w:w="120" w:type="dxa"/>
              <w:right w:w="120" w:type="dxa"/>
            </w:tcMar>
            <w:shd w:fill="1F4E78"/>
          </w:tcPr>
          <w:p>
            <w:pPr>
              <w:spacing w:before="40" w:after="40"/>
            </w:pPr>
            <w:r>
              <w:rPr>
                <w:rFonts w:ascii="Calibri" w:hAnsi="Calibri"/>
                <w:b/>
                <w:color w:val="FFFFFF"/>
                <w:sz w:val="20"/>
              </w:rPr>
              <w:t>% Anomali</w:t>
            </w:r>
          </w:p>
        </w:tc>
        <w:tc>
          <w:tcPr>
            <w:tcW w:type="dxa" w:w="936"/>
            <w:tcMar>
              <w:top w:w="100" w:type="dxa"/>
              <w:bottom w:w="100" w:type="dxa"/>
              <w:left w:w="120" w:type="dxa"/>
              <w:right w:w="120" w:type="dxa"/>
            </w:tcMar>
            <w:shd w:fill="1F4E78"/>
          </w:tcPr>
          <w:p>
            <w:pPr>
              <w:spacing w:before="40" w:after="40"/>
            </w:pPr>
            <w:r>
              <w:rPr>
                <w:rFonts w:ascii="Calibri" w:hAnsi="Calibri"/>
                <w:b/>
                <w:color w:val="FFFFFF"/>
                <w:sz w:val="20"/>
              </w:rPr>
              <w:t>Precision</w:t>
            </w:r>
          </w:p>
        </w:tc>
        <w:tc>
          <w:tcPr>
            <w:tcW w:type="dxa" w:w="936"/>
            <w:tcMar>
              <w:top w:w="100" w:type="dxa"/>
              <w:bottom w:w="100" w:type="dxa"/>
              <w:left w:w="120" w:type="dxa"/>
              <w:right w:w="120" w:type="dxa"/>
            </w:tcMar>
            <w:shd w:fill="1F4E78"/>
          </w:tcPr>
          <w:p>
            <w:pPr>
              <w:spacing w:before="40" w:after="40"/>
            </w:pPr>
            <w:r>
              <w:rPr>
                <w:rFonts w:ascii="Calibri" w:hAnsi="Calibri"/>
                <w:b/>
                <w:color w:val="FFFFFF"/>
                <w:sz w:val="20"/>
              </w:rPr>
              <w:t>Recall</w:t>
            </w:r>
          </w:p>
        </w:tc>
        <w:tc>
          <w:tcPr>
            <w:tcW w:type="dxa" w:w="936"/>
            <w:tcMar>
              <w:top w:w="100" w:type="dxa"/>
              <w:bottom w:w="100" w:type="dxa"/>
              <w:left w:w="120" w:type="dxa"/>
              <w:right w:w="120" w:type="dxa"/>
            </w:tcMar>
            <w:shd w:fill="1F4E78"/>
          </w:tcPr>
          <w:p>
            <w:pPr>
              <w:spacing w:before="40" w:after="40"/>
            </w:pPr>
            <w:r>
              <w:rPr>
                <w:rFonts w:ascii="Calibri" w:hAnsi="Calibri"/>
                <w:b/>
                <w:color w:val="FFFFFF"/>
                <w:sz w:val="20"/>
              </w:rPr>
              <w:t>F1-Score</w:t>
            </w:r>
          </w:p>
        </w:tc>
        <w:tc>
          <w:tcPr>
            <w:tcW w:type="dxa" w:w="936"/>
            <w:tcMar>
              <w:top w:w="100" w:type="dxa"/>
              <w:bottom w:w="100" w:type="dxa"/>
              <w:left w:w="120" w:type="dxa"/>
              <w:right w:w="120" w:type="dxa"/>
            </w:tcMar>
            <w:shd w:fill="1F4E78"/>
          </w:tcPr>
          <w:p>
            <w:pPr>
              <w:spacing w:before="40" w:after="40"/>
            </w:pPr>
            <w:r>
              <w:rPr>
                <w:rFonts w:ascii="Calibri" w:hAnsi="Calibri"/>
                <w:b/>
                <w:color w:val="FFFFFF"/>
                <w:sz w:val="20"/>
              </w:rPr>
              <w:t>ROC-AUC</w:t>
            </w:r>
          </w:p>
        </w:tc>
        <w:tc>
          <w:tcPr>
            <w:tcW w:type="dxa" w:w="936"/>
            <w:tcMar>
              <w:top w:w="100" w:type="dxa"/>
              <w:bottom w:w="100" w:type="dxa"/>
              <w:left w:w="120" w:type="dxa"/>
              <w:right w:w="120" w:type="dxa"/>
            </w:tcMar>
            <w:shd w:fill="1F4E78"/>
          </w:tcPr>
          <w:p>
            <w:pPr>
              <w:spacing w:before="40" w:after="40"/>
            </w:pPr>
            <w:r>
              <w:rPr>
                <w:rFonts w:ascii="Calibri" w:hAnsi="Calibri"/>
                <w:b/>
                <w:color w:val="FFFFFF"/>
                <w:sz w:val="20"/>
              </w:rPr>
              <w:t>PR-AUC</w:t>
            </w:r>
          </w:p>
        </w:tc>
      </w:tr>
      <w:tr>
        <w:tc>
          <w:tcPr>
            <w:tcW w:type="dxa" w:w="936"/>
            <w:tcMar>
              <w:top w:w="100" w:type="dxa"/>
              <w:bottom w:w="100" w:type="dxa"/>
              <w:left w:w="120" w:type="dxa"/>
              <w:right w:w="120" w:type="dxa"/>
            </w:tcMar>
            <w:shd w:fill="F2F4F7"/>
          </w:tcPr>
          <w:p>
            <w:pPr>
              <w:spacing w:before="40" w:after="40"/>
            </w:pPr>
            <w:r>
              <w:rPr>
                <w:rFonts w:ascii="Calibri" w:hAnsi="Calibri"/>
                <w:color w:val="262626"/>
                <w:sz w:val="20"/>
              </w:rPr>
              <w:t>**1**</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**0.2500**</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**0.5**</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**443**</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**25.83%**</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**0.2641**</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**0.5109**</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**0.3482**</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**0.6858**</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**0.2781**</w:t>
            </w:r>
          </w:p>
        </w:tc>
      </w:tr>
      <w:tr>
        <w:tc>
          <w:tcPr>
            <w:tcW w:type="dxa" w:w="936"/>
            <w:tcMar>
              <w:top w:w="100" w:type="dxa"/>
              <w:bottom w:w="100" w:type="dxa"/>
              <w:left w:w="120" w:type="dxa"/>
              <w:right w:w="120" w:type="dxa"/>
            </w:tcMar>
          </w:tcPr>
          <w:p>
            <w:pPr>
              <w:spacing w:before="40" w:after="40"/>
            </w:pPr>
            <w:r>
              <w:rPr>
                <w:rFonts w:ascii="Calibri" w:hAnsi="Calibri"/>
                <w:color w:val="262626"/>
                <w:sz w:val="20"/>
              </w:rPr>
              <w:t>2</w:t>
            </w:r>
          </w:p>
        </w:tc>
        <w:tc>
          <w:tcPr>
            <w:tcW w:type="dxa" w:w="936"/>
            <w:tcMar>
              <w:top w:w="100" w:type="dxa"/>
              <w:bottom w:w="100" w:type="dxa"/>
              <w:left w:w="120" w:type="dxa"/>
              <w:right w:w="120" w:type="dxa"/>
            </w:tcMar>
          </w:tcPr>
          <w:p>
            <w:pPr>
              <w:spacing w:before="40" w:after="40"/>
            </w:pPr>
            <w:r>
              <w:rPr>
                <w:rFonts w:ascii="Calibri" w:hAnsi="Calibri"/>
                <w:color w:val="262626"/>
                <w:sz w:val="20"/>
              </w:rPr>
              <w:t>0.2000</w:t>
            </w:r>
          </w:p>
        </w:tc>
        <w:tc>
          <w:tcPr>
            <w:tcW w:type="dxa" w:w="936"/>
            <w:tcMar>
              <w:top w:w="100" w:type="dxa"/>
              <w:bottom w:w="100" w:type="dxa"/>
              <w:left w:w="120" w:type="dxa"/>
              <w:right w:w="120" w:type="dxa"/>
            </w:tcMar>
          </w:tcPr>
          <w:p>
            <w:pPr>
              <w:spacing w:before="40" w:after="40"/>
            </w:pPr>
            <w:r>
              <w:rPr>
                <w:rFonts w:ascii="Calibri" w:hAnsi="Calibri"/>
                <w:color w:val="262626"/>
                <w:sz w:val="20"/>
              </w:rPr>
              <w:t>0.5</w:t>
            </w:r>
          </w:p>
        </w:tc>
        <w:tc>
          <w:tcPr>
            <w:tcW w:type="dxa" w:w="936"/>
            <w:tcMar>
              <w:top w:w="100" w:type="dxa"/>
              <w:bottom w:w="100" w:type="dxa"/>
              <w:left w:w="120" w:type="dxa"/>
              <w:right w:w="120" w:type="dxa"/>
            </w:tcMar>
          </w:tcPr>
          <w:p>
            <w:pPr>
              <w:spacing w:before="40" w:after="40"/>
            </w:pPr>
            <w:r>
              <w:rPr>
                <w:rFonts w:ascii="Calibri" w:hAnsi="Calibri"/>
                <w:color w:val="262626"/>
                <w:sz w:val="20"/>
              </w:rPr>
              <w:t>377</w:t>
            </w:r>
          </w:p>
        </w:tc>
        <w:tc>
          <w:tcPr>
            <w:tcW w:type="dxa" w:w="936"/>
            <w:tcMar>
              <w:top w:w="100" w:type="dxa"/>
              <w:bottom w:w="100" w:type="dxa"/>
              <w:left w:w="120" w:type="dxa"/>
              <w:right w:w="120" w:type="dxa"/>
            </w:tcMar>
          </w:tcPr>
          <w:p>
            <w:pPr>
              <w:spacing w:before="40" w:after="40"/>
            </w:pPr>
            <w:r>
              <w:rPr>
                <w:rFonts w:ascii="Calibri" w:hAnsi="Calibri"/>
                <w:color w:val="262626"/>
                <w:sz w:val="20"/>
              </w:rPr>
              <w:t>21.98%</w:t>
            </w:r>
          </w:p>
        </w:tc>
        <w:tc>
          <w:tcPr>
            <w:tcW w:type="dxa" w:w="936"/>
            <w:tcMar>
              <w:top w:w="100" w:type="dxa"/>
              <w:bottom w:w="100" w:type="dxa"/>
              <w:left w:w="120" w:type="dxa"/>
              <w:right w:w="120" w:type="dxa"/>
            </w:tcMar>
          </w:tcPr>
          <w:p>
            <w:pPr>
              <w:spacing w:before="40" w:after="40"/>
            </w:pPr>
            <w:r>
              <w:rPr>
                <w:rFonts w:ascii="Calibri" w:hAnsi="Calibri"/>
                <w:color w:val="262626"/>
                <w:sz w:val="20"/>
              </w:rPr>
              <w:t>0.2573</w:t>
            </w:r>
          </w:p>
        </w:tc>
        <w:tc>
          <w:tcPr>
            <w:tcW w:type="dxa" w:w="936"/>
            <w:tcMar>
              <w:top w:w="100" w:type="dxa"/>
              <w:bottom w:w="100" w:type="dxa"/>
              <w:left w:w="120" w:type="dxa"/>
              <w:right w:w="120" w:type="dxa"/>
            </w:tcMar>
          </w:tcPr>
          <w:p>
            <w:pPr>
              <w:spacing w:before="40" w:after="40"/>
            </w:pPr>
            <w:r>
              <w:rPr>
                <w:rFonts w:ascii="Calibri" w:hAnsi="Calibri"/>
                <w:color w:val="262626"/>
                <w:sz w:val="20"/>
              </w:rPr>
              <w:t>0.4236</w:t>
            </w:r>
          </w:p>
        </w:tc>
        <w:tc>
          <w:tcPr>
            <w:tcW w:type="dxa" w:w="936"/>
            <w:tcMar>
              <w:top w:w="100" w:type="dxa"/>
              <w:bottom w:w="100" w:type="dxa"/>
              <w:left w:w="120" w:type="dxa"/>
              <w:right w:w="120" w:type="dxa"/>
            </w:tcMar>
          </w:tcPr>
          <w:p>
            <w:pPr>
              <w:spacing w:before="40" w:after="40"/>
            </w:pPr>
            <w:r>
              <w:rPr>
                <w:rFonts w:ascii="Calibri" w:hAnsi="Calibri"/>
                <w:color w:val="262626"/>
                <w:sz w:val="20"/>
              </w:rPr>
              <w:t>0.3201</w:t>
            </w:r>
          </w:p>
        </w:tc>
        <w:tc>
          <w:tcPr>
            <w:tcW w:type="dxa" w:w="936"/>
            <w:tcMar>
              <w:top w:w="100" w:type="dxa"/>
              <w:bottom w:w="100" w:type="dxa"/>
              <w:left w:w="120" w:type="dxa"/>
              <w:right w:w="120" w:type="dxa"/>
            </w:tcMar>
          </w:tcPr>
          <w:p>
            <w:pPr>
              <w:spacing w:before="40" w:after="40"/>
            </w:pPr>
            <w:r>
              <w:rPr>
                <w:rFonts w:ascii="Calibri" w:hAnsi="Calibri"/>
                <w:color w:val="262626"/>
                <w:sz w:val="20"/>
              </w:rPr>
              <w:t>0.6809</w:t>
            </w:r>
          </w:p>
        </w:tc>
        <w:tc>
          <w:tcPr>
            <w:tcW w:type="dxa" w:w="936"/>
            <w:tcMar>
              <w:top w:w="100" w:type="dxa"/>
              <w:bottom w:w="100" w:type="dxa"/>
              <w:left w:w="120" w:type="dxa"/>
              <w:right w:w="120" w:type="dxa"/>
            </w:tcMar>
          </w:tcPr>
          <w:p>
            <w:pPr>
              <w:spacing w:before="40" w:after="40"/>
            </w:pPr>
            <w:r>
              <w:rPr>
                <w:rFonts w:ascii="Calibri" w:hAnsi="Calibri"/>
                <w:color w:val="262626"/>
                <w:sz w:val="20"/>
              </w:rPr>
              <w:t>0.2684</w:t>
            </w:r>
          </w:p>
        </w:tc>
      </w:tr>
      <w:tr>
        <w:tc>
          <w:tcPr>
            <w:tcW w:type="dxa" w:w="936"/>
            <w:tcMar>
              <w:top w:w="100" w:type="dxa"/>
              <w:bottom w:w="100" w:type="dxa"/>
              <w:left w:w="120" w:type="dxa"/>
              <w:right w:w="120" w:type="dxa"/>
            </w:tcMar>
            <w:shd w:fill="F2F4F7"/>
          </w:tcPr>
          <w:p>
            <w:pPr>
              <w:spacing w:before="40" w:after="40"/>
            </w:pPr>
            <w:r>
              <w:rPr>
                <w:rFonts w:ascii="Calibri" w:hAnsi="Calibri"/>
                <w:color w:val="262626"/>
                <w:sz w:val="20"/>
              </w:rPr>
              <w:t>3</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0.2500</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0.1</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431</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25.13%</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0.2367</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0.4454</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0.3091</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0.6493</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0.2218</w:t>
            </w:r>
          </w:p>
        </w:tc>
      </w:tr>
      <w:tr>
        <w:tc>
          <w:tcPr>
            <w:tcW w:type="dxa" w:w="936"/>
            <w:tcMar>
              <w:top w:w="100" w:type="dxa"/>
              <w:bottom w:w="100" w:type="dxa"/>
              <w:left w:w="120" w:type="dxa"/>
              <w:right w:w="120" w:type="dxa"/>
            </w:tcMar>
          </w:tcPr>
          <w:p>
            <w:pPr>
              <w:spacing w:before="40" w:after="40"/>
            </w:pPr>
            <w:r>
              <w:rPr>
                <w:rFonts w:ascii="Calibri" w:hAnsi="Calibri"/>
                <w:color w:val="262626"/>
                <w:sz w:val="20"/>
              </w:rPr>
              <w:t>4</w:t>
            </w:r>
          </w:p>
        </w:tc>
        <w:tc>
          <w:tcPr>
            <w:tcW w:type="dxa" w:w="936"/>
            <w:tcMar>
              <w:top w:w="100" w:type="dxa"/>
              <w:bottom w:w="100" w:type="dxa"/>
              <w:left w:w="120" w:type="dxa"/>
              <w:right w:w="120" w:type="dxa"/>
            </w:tcMar>
          </w:tcPr>
          <w:p>
            <w:pPr>
              <w:spacing w:before="40" w:after="40"/>
            </w:pPr>
            <w:r>
              <w:rPr>
                <w:rFonts w:ascii="Calibri" w:hAnsi="Calibri"/>
                <w:color w:val="262626"/>
                <w:sz w:val="20"/>
              </w:rPr>
              <w:t>0.2000</w:t>
            </w:r>
          </w:p>
        </w:tc>
        <w:tc>
          <w:tcPr>
            <w:tcW w:type="dxa" w:w="936"/>
            <w:tcMar>
              <w:top w:w="100" w:type="dxa"/>
              <w:bottom w:w="100" w:type="dxa"/>
              <w:left w:w="120" w:type="dxa"/>
              <w:right w:w="120" w:type="dxa"/>
            </w:tcMar>
          </w:tcPr>
          <w:p>
            <w:pPr>
              <w:spacing w:before="40" w:after="40"/>
            </w:pPr>
            <w:r>
              <w:rPr>
                <w:rFonts w:ascii="Calibri" w:hAnsi="Calibri"/>
                <w:color w:val="262626"/>
                <w:sz w:val="20"/>
              </w:rPr>
              <w:t>0.1</w:t>
            </w:r>
          </w:p>
        </w:tc>
        <w:tc>
          <w:tcPr>
            <w:tcW w:type="dxa" w:w="936"/>
            <w:tcMar>
              <w:top w:w="100" w:type="dxa"/>
              <w:bottom w:w="100" w:type="dxa"/>
              <w:left w:w="120" w:type="dxa"/>
              <w:right w:w="120" w:type="dxa"/>
            </w:tcMar>
          </w:tcPr>
          <w:p>
            <w:pPr>
              <w:spacing w:before="40" w:after="40"/>
            </w:pPr>
            <w:r>
              <w:rPr>
                <w:rFonts w:ascii="Calibri" w:hAnsi="Calibri"/>
                <w:color w:val="262626"/>
                <w:sz w:val="20"/>
              </w:rPr>
              <w:t>343</w:t>
            </w:r>
          </w:p>
        </w:tc>
        <w:tc>
          <w:tcPr>
            <w:tcW w:type="dxa" w:w="936"/>
            <w:tcMar>
              <w:top w:w="100" w:type="dxa"/>
              <w:bottom w:w="100" w:type="dxa"/>
              <w:left w:w="120" w:type="dxa"/>
              <w:right w:w="120" w:type="dxa"/>
            </w:tcMar>
          </w:tcPr>
          <w:p>
            <w:pPr>
              <w:spacing w:before="40" w:after="40"/>
            </w:pPr>
            <w:r>
              <w:rPr>
                <w:rFonts w:ascii="Calibri" w:hAnsi="Calibri"/>
                <w:color w:val="262626"/>
                <w:sz w:val="20"/>
              </w:rPr>
              <w:t>20.00%</w:t>
            </w:r>
          </w:p>
        </w:tc>
        <w:tc>
          <w:tcPr>
            <w:tcW w:type="dxa" w:w="936"/>
            <w:tcMar>
              <w:top w:w="100" w:type="dxa"/>
              <w:bottom w:w="100" w:type="dxa"/>
              <w:left w:w="120" w:type="dxa"/>
              <w:right w:w="120" w:type="dxa"/>
            </w:tcMar>
          </w:tcPr>
          <w:p>
            <w:pPr>
              <w:spacing w:before="40" w:after="40"/>
            </w:pPr>
            <w:r>
              <w:rPr>
                <w:rFonts w:ascii="Calibri" w:hAnsi="Calibri"/>
                <w:color w:val="262626"/>
                <w:sz w:val="20"/>
              </w:rPr>
              <w:t>0.2536</w:t>
            </w:r>
          </w:p>
        </w:tc>
        <w:tc>
          <w:tcPr>
            <w:tcW w:type="dxa" w:w="936"/>
            <w:tcMar>
              <w:top w:w="100" w:type="dxa"/>
              <w:bottom w:w="100" w:type="dxa"/>
              <w:left w:w="120" w:type="dxa"/>
              <w:right w:w="120" w:type="dxa"/>
            </w:tcMar>
          </w:tcPr>
          <w:p>
            <w:pPr>
              <w:spacing w:before="40" w:after="40"/>
            </w:pPr>
            <w:r>
              <w:rPr>
                <w:rFonts w:ascii="Calibri" w:hAnsi="Calibri"/>
                <w:color w:val="262626"/>
                <w:sz w:val="20"/>
              </w:rPr>
              <w:t>0.3799</w:t>
            </w:r>
          </w:p>
        </w:tc>
        <w:tc>
          <w:tcPr>
            <w:tcW w:type="dxa" w:w="936"/>
            <w:tcMar>
              <w:top w:w="100" w:type="dxa"/>
              <w:bottom w:w="100" w:type="dxa"/>
              <w:left w:w="120" w:type="dxa"/>
              <w:right w:w="120" w:type="dxa"/>
            </w:tcMar>
          </w:tcPr>
          <w:p>
            <w:pPr>
              <w:spacing w:before="40" w:after="40"/>
            </w:pPr>
            <w:r>
              <w:rPr>
                <w:rFonts w:ascii="Calibri" w:hAnsi="Calibri"/>
                <w:color w:val="262626"/>
                <w:sz w:val="20"/>
              </w:rPr>
              <w:t>0.3042</w:t>
            </w:r>
          </w:p>
        </w:tc>
        <w:tc>
          <w:tcPr>
            <w:tcW w:type="dxa" w:w="936"/>
            <w:tcMar>
              <w:top w:w="100" w:type="dxa"/>
              <w:bottom w:w="100" w:type="dxa"/>
              <w:left w:w="120" w:type="dxa"/>
              <w:right w:w="120" w:type="dxa"/>
            </w:tcMar>
          </w:tcPr>
          <w:p>
            <w:pPr>
              <w:spacing w:before="40" w:after="40"/>
            </w:pPr>
            <w:r>
              <w:rPr>
                <w:rFonts w:ascii="Calibri" w:hAnsi="Calibri"/>
                <w:color w:val="262626"/>
                <w:sz w:val="20"/>
              </w:rPr>
              <w:t>0.6467</w:t>
            </w:r>
          </w:p>
        </w:tc>
        <w:tc>
          <w:tcPr>
            <w:tcW w:type="dxa" w:w="936"/>
            <w:tcMar>
              <w:top w:w="100" w:type="dxa"/>
              <w:bottom w:w="100" w:type="dxa"/>
              <w:left w:w="120" w:type="dxa"/>
              <w:right w:w="120" w:type="dxa"/>
            </w:tcMar>
          </w:tcPr>
          <w:p>
            <w:pPr>
              <w:spacing w:before="40" w:after="40"/>
            </w:pPr>
            <w:r>
              <w:rPr>
                <w:rFonts w:ascii="Calibri" w:hAnsi="Calibri"/>
                <w:color w:val="262626"/>
                <w:sz w:val="20"/>
              </w:rPr>
              <w:t>0.2259</w:t>
            </w:r>
          </w:p>
        </w:tc>
      </w:tr>
      <w:tr>
        <w:tc>
          <w:tcPr>
            <w:tcW w:type="dxa" w:w="936"/>
            <w:tcMar>
              <w:top w:w="100" w:type="dxa"/>
              <w:bottom w:w="100" w:type="dxa"/>
              <w:left w:w="120" w:type="dxa"/>
              <w:right w:w="120" w:type="dxa"/>
            </w:tcMar>
            <w:shd w:fill="F2F4F7"/>
          </w:tcPr>
          <w:p>
            <w:pPr>
              <w:spacing w:before="40" w:after="40"/>
            </w:pPr>
            <w:r>
              <w:rPr>
                <w:rFonts w:ascii="Calibri" w:hAnsi="Calibri"/>
                <w:color w:val="262626"/>
                <w:sz w:val="20"/>
              </w:rPr>
              <w:t>5</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0.1000</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0.5</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299</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17.43%</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0.2676</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0.3493</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0.3030</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0.6775</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0.2333</w:t>
            </w:r>
          </w:p>
        </w:tc>
      </w:tr>
      <w:tr>
        <w:tc>
          <w:tcPr>
            <w:tcW w:type="dxa" w:w="936"/>
            <w:tcMar>
              <w:top w:w="100" w:type="dxa"/>
              <w:bottom w:w="100" w:type="dxa"/>
              <w:left w:w="120" w:type="dxa"/>
              <w:right w:w="120" w:type="dxa"/>
            </w:tcMar>
          </w:tcPr>
          <w:p>
            <w:pPr>
              <w:spacing w:before="40" w:after="40"/>
            </w:pPr>
            <w:r>
              <w:rPr>
                <w:rFonts w:ascii="Calibri" w:hAnsi="Calibri"/>
                <w:color w:val="262626"/>
                <w:sz w:val="20"/>
              </w:rPr>
              <w:t>6</w:t>
            </w:r>
          </w:p>
        </w:tc>
        <w:tc>
          <w:tcPr>
            <w:tcW w:type="dxa" w:w="936"/>
            <w:tcMar>
              <w:top w:w="100" w:type="dxa"/>
              <w:bottom w:w="100" w:type="dxa"/>
              <w:left w:w="120" w:type="dxa"/>
              <w:right w:w="120" w:type="dxa"/>
            </w:tcMar>
          </w:tcPr>
          <w:p>
            <w:pPr>
              <w:spacing w:before="40" w:after="40"/>
            </w:pPr>
            <w:r>
              <w:rPr>
                <w:rFonts w:ascii="Calibri" w:hAnsi="Calibri"/>
                <w:color w:val="262626"/>
                <w:sz w:val="20"/>
              </w:rPr>
              <w:t>0.1335</w:t>
            </w:r>
          </w:p>
        </w:tc>
        <w:tc>
          <w:tcPr>
            <w:tcW w:type="dxa" w:w="936"/>
            <w:tcMar>
              <w:top w:w="100" w:type="dxa"/>
              <w:bottom w:w="100" w:type="dxa"/>
              <w:left w:w="120" w:type="dxa"/>
              <w:right w:w="120" w:type="dxa"/>
            </w:tcMar>
          </w:tcPr>
          <w:p>
            <w:pPr>
              <w:spacing w:before="40" w:after="40"/>
            </w:pPr>
            <w:r>
              <w:rPr>
                <w:rFonts w:ascii="Calibri" w:hAnsi="Calibri"/>
                <w:color w:val="262626"/>
                <w:sz w:val="20"/>
              </w:rPr>
              <w:t>0.5</w:t>
            </w:r>
          </w:p>
        </w:tc>
        <w:tc>
          <w:tcPr>
            <w:tcW w:type="dxa" w:w="936"/>
            <w:tcMar>
              <w:top w:w="100" w:type="dxa"/>
              <w:bottom w:w="100" w:type="dxa"/>
              <w:left w:w="120" w:type="dxa"/>
              <w:right w:w="120" w:type="dxa"/>
            </w:tcMar>
          </w:tcPr>
          <w:p>
            <w:pPr>
              <w:spacing w:before="40" w:after="40"/>
            </w:pPr>
            <w:r>
              <w:rPr>
                <w:rFonts w:ascii="Calibri" w:hAnsi="Calibri"/>
                <w:color w:val="262626"/>
                <w:sz w:val="20"/>
              </w:rPr>
              <w:t>320</w:t>
            </w:r>
          </w:p>
        </w:tc>
        <w:tc>
          <w:tcPr>
            <w:tcW w:type="dxa" w:w="936"/>
            <w:tcMar>
              <w:top w:w="100" w:type="dxa"/>
              <w:bottom w:w="100" w:type="dxa"/>
              <w:left w:w="120" w:type="dxa"/>
              <w:right w:w="120" w:type="dxa"/>
            </w:tcMar>
          </w:tcPr>
          <w:p>
            <w:pPr>
              <w:spacing w:before="40" w:after="40"/>
            </w:pPr>
            <w:r>
              <w:rPr>
                <w:rFonts w:ascii="Calibri" w:hAnsi="Calibri"/>
                <w:color w:val="262626"/>
                <w:sz w:val="20"/>
              </w:rPr>
              <w:t>18.66%</w:t>
            </w:r>
          </w:p>
        </w:tc>
        <w:tc>
          <w:tcPr>
            <w:tcW w:type="dxa" w:w="936"/>
            <w:tcMar>
              <w:top w:w="100" w:type="dxa"/>
              <w:bottom w:w="100" w:type="dxa"/>
              <w:left w:w="120" w:type="dxa"/>
              <w:right w:w="120" w:type="dxa"/>
            </w:tcMar>
          </w:tcPr>
          <w:p>
            <w:pPr>
              <w:spacing w:before="40" w:after="40"/>
            </w:pPr>
            <w:r>
              <w:rPr>
                <w:rFonts w:ascii="Calibri" w:hAnsi="Calibri"/>
                <w:color w:val="262626"/>
                <w:sz w:val="20"/>
              </w:rPr>
              <w:t>0.2594</w:t>
            </w:r>
          </w:p>
        </w:tc>
        <w:tc>
          <w:tcPr>
            <w:tcW w:type="dxa" w:w="936"/>
            <w:tcMar>
              <w:top w:w="100" w:type="dxa"/>
              <w:bottom w:w="100" w:type="dxa"/>
              <w:left w:w="120" w:type="dxa"/>
              <w:right w:w="120" w:type="dxa"/>
            </w:tcMar>
          </w:tcPr>
          <w:p>
            <w:pPr>
              <w:spacing w:before="40" w:after="40"/>
            </w:pPr>
            <w:r>
              <w:rPr>
                <w:rFonts w:ascii="Calibri" w:hAnsi="Calibri"/>
                <w:color w:val="262626"/>
                <w:sz w:val="20"/>
              </w:rPr>
              <w:t>0.3624</w:t>
            </w:r>
          </w:p>
        </w:tc>
        <w:tc>
          <w:tcPr>
            <w:tcW w:type="dxa" w:w="936"/>
            <w:tcMar>
              <w:top w:w="100" w:type="dxa"/>
              <w:bottom w:w="100" w:type="dxa"/>
              <w:left w:w="120" w:type="dxa"/>
              <w:right w:w="120" w:type="dxa"/>
            </w:tcMar>
          </w:tcPr>
          <w:p>
            <w:pPr>
              <w:spacing w:before="40" w:after="40"/>
            </w:pPr>
            <w:r>
              <w:rPr>
                <w:rFonts w:ascii="Calibri" w:hAnsi="Calibri"/>
                <w:color w:val="262626"/>
                <w:sz w:val="20"/>
              </w:rPr>
              <w:t>0.3024</w:t>
            </w:r>
          </w:p>
        </w:tc>
        <w:tc>
          <w:tcPr>
            <w:tcW w:type="dxa" w:w="936"/>
            <w:tcMar>
              <w:top w:w="100" w:type="dxa"/>
              <w:bottom w:w="100" w:type="dxa"/>
              <w:left w:w="120" w:type="dxa"/>
              <w:right w:w="120" w:type="dxa"/>
            </w:tcMar>
          </w:tcPr>
          <w:p>
            <w:pPr>
              <w:spacing w:before="40" w:after="40"/>
            </w:pPr>
            <w:r>
              <w:rPr>
                <w:rFonts w:ascii="Calibri" w:hAnsi="Calibri"/>
                <w:color w:val="262626"/>
                <w:sz w:val="20"/>
              </w:rPr>
              <w:t>0.6775</w:t>
            </w:r>
          </w:p>
        </w:tc>
        <w:tc>
          <w:tcPr>
            <w:tcW w:type="dxa" w:w="936"/>
            <w:tcMar>
              <w:top w:w="100" w:type="dxa"/>
              <w:bottom w:w="100" w:type="dxa"/>
              <w:left w:w="120" w:type="dxa"/>
              <w:right w:w="120" w:type="dxa"/>
            </w:tcMar>
          </w:tcPr>
          <w:p>
            <w:pPr>
              <w:spacing w:before="40" w:after="40"/>
            </w:pPr>
            <w:r>
              <w:rPr>
                <w:rFonts w:ascii="Calibri" w:hAnsi="Calibri"/>
                <w:color w:val="262626"/>
                <w:sz w:val="20"/>
              </w:rPr>
              <w:t>0.2575</w:t>
            </w:r>
          </w:p>
        </w:tc>
      </w:tr>
      <w:tr>
        <w:tc>
          <w:tcPr>
            <w:tcW w:type="dxa" w:w="936"/>
            <w:tcMar>
              <w:top w:w="100" w:type="dxa"/>
              <w:bottom w:w="100" w:type="dxa"/>
              <w:left w:w="120" w:type="dxa"/>
              <w:right w:w="120" w:type="dxa"/>
            </w:tcMar>
            <w:shd w:fill="F2F4F7"/>
          </w:tcPr>
          <w:p>
            <w:pPr>
              <w:spacing w:before="40" w:after="40"/>
            </w:pPr>
            <w:r>
              <w:rPr>
                <w:rFonts w:ascii="Calibri" w:hAnsi="Calibri"/>
                <w:color w:val="262626"/>
                <w:sz w:val="20"/>
              </w:rPr>
              <w:t>7</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0.2500</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auto</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427</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24.90%</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0.2295</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0.4279</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0.2988</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0.6445</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0.2139</w:t>
            </w:r>
          </w:p>
        </w:tc>
      </w:tr>
      <w:tr>
        <w:tc>
          <w:tcPr>
            <w:tcW w:type="dxa" w:w="936"/>
            <w:tcMar>
              <w:top w:w="100" w:type="dxa"/>
              <w:bottom w:w="100" w:type="dxa"/>
              <w:left w:w="120" w:type="dxa"/>
              <w:right w:w="120" w:type="dxa"/>
            </w:tcMar>
          </w:tcPr>
          <w:p>
            <w:pPr>
              <w:spacing w:before="40" w:after="40"/>
            </w:pPr>
            <w:r>
              <w:rPr>
                <w:rFonts w:ascii="Calibri" w:hAnsi="Calibri"/>
                <w:color w:val="262626"/>
                <w:sz w:val="20"/>
              </w:rPr>
              <w:t>8</w:t>
            </w:r>
          </w:p>
        </w:tc>
        <w:tc>
          <w:tcPr>
            <w:tcW w:type="dxa" w:w="936"/>
            <w:tcMar>
              <w:top w:w="100" w:type="dxa"/>
              <w:bottom w:w="100" w:type="dxa"/>
              <w:left w:w="120" w:type="dxa"/>
              <w:right w:w="120" w:type="dxa"/>
            </w:tcMar>
          </w:tcPr>
          <w:p>
            <w:pPr>
              <w:spacing w:before="40" w:after="40"/>
            </w:pPr>
            <w:r>
              <w:rPr>
                <w:rFonts w:ascii="Calibri" w:hAnsi="Calibri"/>
                <w:color w:val="262626"/>
                <w:sz w:val="20"/>
              </w:rPr>
              <w:t>0.2500</w:t>
            </w:r>
          </w:p>
        </w:tc>
        <w:tc>
          <w:tcPr>
            <w:tcW w:type="dxa" w:w="936"/>
            <w:tcMar>
              <w:top w:w="100" w:type="dxa"/>
              <w:bottom w:w="100" w:type="dxa"/>
              <w:left w:w="120" w:type="dxa"/>
              <w:right w:w="120" w:type="dxa"/>
            </w:tcMar>
          </w:tcPr>
          <w:p>
            <w:pPr>
              <w:spacing w:before="40" w:after="40"/>
            </w:pPr>
            <w:r>
              <w:rPr>
                <w:rFonts w:ascii="Calibri" w:hAnsi="Calibri"/>
                <w:color w:val="262626"/>
                <w:sz w:val="20"/>
              </w:rPr>
              <w:t>scale</w:t>
            </w:r>
          </w:p>
        </w:tc>
        <w:tc>
          <w:tcPr>
            <w:tcW w:type="dxa" w:w="936"/>
            <w:tcMar>
              <w:top w:w="100" w:type="dxa"/>
              <w:bottom w:w="100" w:type="dxa"/>
              <w:left w:w="120" w:type="dxa"/>
              <w:right w:w="120" w:type="dxa"/>
            </w:tcMar>
          </w:tcPr>
          <w:p>
            <w:pPr>
              <w:spacing w:before="40" w:after="40"/>
            </w:pPr>
            <w:r>
              <w:rPr>
                <w:rFonts w:ascii="Calibri" w:hAnsi="Calibri"/>
                <w:color w:val="262626"/>
                <w:sz w:val="20"/>
              </w:rPr>
              <w:t>427</w:t>
            </w:r>
          </w:p>
        </w:tc>
        <w:tc>
          <w:tcPr>
            <w:tcW w:type="dxa" w:w="936"/>
            <w:tcMar>
              <w:top w:w="100" w:type="dxa"/>
              <w:bottom w:w="100" w:type="dxa"/>
              <w:left w:w="120" w:type="dxa"/>
              <w:right w:w="120" w:type="dxa"/>
            </w:tcMar>
          </w:tcPr>
          <w:p>
            <w:pPr>
              <w:spacing w:before="40" w:after="40"/>
            </w:pPr>
            <w:r>
              <w:rPr>
                <w:rFonts w:ascii="Calibri" w:hAnsi="Calibri"/>
                <w:color w:val="262626"/>
                <w:sz w:val="20"/>
              </w:rPr>
              <w:t>24.90%</w:t>
            </w:r>
          </w:p>
        </w:tc>
        <w:tc>
          <w:tcPr>
            <w:tcW w:type="dxa" w:w="936"/>
            <w:tcMar>
              <w:top w:w="100" w:type="dxa"/>
              <w:bottom w:w="100" w:type="dxa"/>
              <w:left w:w="120" w:type="dxa"/>
              <w:right w:w="120" w:type="dxa"/>
            </w:tcMar>
          </w:tcPr>
          <w:p>
            <w:pPr>
              <w:spacing w:before="40" w:after="40"/>
            </w:pPr>
            <w:r>
              <w:rPr>
                <w:rFonts w:ascii="Calibri" w:hAnsi="Calibri"/>
                <w:color w:val="262626"/>
                <w:sz w:val="20"/>
              </w:rPr>
              <w:t>0.2295</w:t>
            </w:r>
          </w:p>
        </w:tc>
        <w:tc>
          <w:tcPr>
            <w:tcW w:type="dxa" w:w="936"/>
            <w:tcMar>
              <w:top w:w="100" w:type="dxa"/>
              <w:bottom w:w="100" w:type="dxa"/>
              <w:left w:w="120" w:type="dxa"/>
              <w:right w:w="120" w:type="dxa"/>
            </w:tcMar>
          </w:tcPr>
          <w:p>
            <w:pPr>
              <w:spacing w:before="40" w:after="40"/>
            </w:pPr>
            <w:r>
              <w:rPr>
                <w:rFonts w:ascii="Calibri" w:hAnsi="Calibri"/>
                <w:color w:val="262626"/>
                <w:sz w:val="20"/>
              </w:rPr>
              <w:t>0.4279</w:t>
            </w:r>
          </w:p>
        </w:tc>
        <w:tc>
          <w:tcPr>
            <w:tcW w:type="dxa" w:w="936"/>
            <w:tcMar>
              <w:top w:w="100" w:type="dxa"/>
              <w:bottom w:w="100" w:type="dxa"/>
              <w:left w:w="120" w:type="dxa"/>
              <w:right w:w="120" w:type="dxa"/>
            </w:tcMar>
          </w:tcPr>
          <w:p>
            <w:pPr>
              <w:spacing w:before="40" w:after="40"/>
            </w:pPr>
            <w:r>
              <w:rPr>
                <w:rFonts w:ascii="Calibri" w:hAnsi="Calibri"/>
                <w:color w:val="262626"/>
                <w:sz w:val="20"/>
              </w:rPr>
              <w:t>0.2988</w:t>
            </w:r>
          </w:p>
        </w:tc>
        <w:tc>
          <w:tcPr>
            <w:tcW w:type="dxa" w:w="936"/>
            <w:tcMar>
              <w:top w:w="100" w:type="dxa"/>
              <w:bottom w:w="100" w:type="dxa"/>
              <w:left w:w="120" w:type="dxa"/>
              <w:right w:w="120" w:type="dxa"/>
            </w:tcMar>
          </w:tcPr>
          <w:p>
            <w:pPr>
              <w:spacing w:before="40" w:after="40"/>
            </w:pPr>
            <w:r>
              <w:rPr>
                <w:rFonts w:ascii="Calibri" w:hAnsi="Calibri"/>
                <w:color w:val="262626"/>
                <w:sz w:val="20"/>
              </w:rPr>
              <w:t>0.6445</w:t>
            </w:r>
          </w:p>
        </w:tc>
        <w:tc>
          <w:tcPr>
            <w:tcW w:type="dxa" w:w="936"/>
            <w:tcMar>
              <w:top w:w="100" w:type="dxa"/>
              <w:bottom w:w="100" w:type="dxa"/>
              <w:left w:w="120" w:type="dxa"/>
              <w:right w:w="120" w:type="dxa"/>
            </w:tcMar>
          </w:tcPr>
          <w:p>
            <w:pPr>
              <w:spacing w:before="40" w:after="40"/>
            </w:pPr>
            <w:r>
              <w:rPr>
                <w:rFonts w:ascii="Calibri" w:hAnsi="Calibri"/>
                <w:color w:val="262626"/>
                <w:sz w:val="20"/>
              </w:rPr>
              <w:t>0.2139</w:t>
            </w:r>
          </w:p>
        </w:tc>
      </w:tr>
      <w:tr>
        <w:tc>
          <w:tcPr>
            <w:tcW w:type="dxa" w:w="936"/>
            <w:tcMar>
              <w:top w:w="100" w:type="dxa"/>
              <w:bottom w:w="100" w:type="dxa"/>
              <w:left w:w="120" w:type="dxa"/>
              <w:right w:w="120" w:type="dxa"/>
            </w:tcMar>
            <w:shd w:fill="F2F4F7"/>
          </w:tcPr>
          <w:p>
            <w:pPr>
              <w:spacing w:before="40" w:after="40"/>
            </w:pPr>
            <w:r>
              <w:rPr>
                <w:rFonts w:ascii="Calibri" w:hAnsi="Calibri"/>
                <w:color w:val="262626"/>
                <w:sz w:val="20"/>
              </w:rPr>
              <w:t>9</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0.2500</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0.01</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430</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25.07%</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0.2256</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0.4236</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0.2944</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0.6330</w:t>
            </w:r>
          </w:p>
        </w:tc>
        <w:tc>
          <w:tcPr>
            <w:tcW w:type="dxa" w:w="936"/>
            <w:tcMar>
              <w:top w:w="100" w:type="dxa"/>
              <w:bottom w:w="100" w:type="dxa"/>
              <w:left w:w="120" w:type="dxa"/>
              <w:right w:w="120" w:type="dxa"/>
            </w:tcMar>
            <w:shd w:fill="F2F4F7"/>
          </w:tcPr>
          <w:p>
            <w:pPr>
              <w:spacing w:before="40" w:after="40"/>
            </w:pPr>
            <w:r>
              <w:rPr>
                <w:rFonts w:ascii="Calibri" w:hAnsi="Calibri"/>
                <w:color w:val="262626"/>
                <w:sz w:val="20"/>
              </w:rPr>
              <w:t>0.2002</w:t>
            </w:r>
          </w:p>
        </w:tc>
      </w:tr>
      <w:tr>
        <w:tc>
          <w:tcPr>
            <w:tcW w:type="dxa" w:w="936"/>
            <w:tcMar>
              <w:top w:w="100" w:type="dxa"/>
              <w:bottom w:w="100" w:type="dxa"/>
              <w:left w:w="120" w:type="dxa"/>
              <w:right w:w="120" w:type="dxa"/>
            </w:tcMar>
          </w:tcPr>
          <w:p>
            <w:pPr>
              <w:spacing w:before="40" w:after="40"/>
            </w:pPr>
            <w:r>
              <w:rPr>
                <w:rFonts w:ascii="Calibri" w:hAnsi="Calibri"/>
                <w:color w:val="262626"/>
                <w:sz w:val="20"/>
              </w:rPr>
              <w:t>10</w:t>
            </w:r>
          </w:p>
        </w:tc>
        <w:tc>
          <w:tcPr>
            <w:tcW w:type="dxa" w:w="936"/>
            <w:tcMar>
              <w:top w:w="100" w:type="dxa"/>
              <w:bottom w:w="100" w:type="dxa"/>
              <w:left w:w="120" w:type="dxa"/>
              <w:right w:w="120" w:type="dxa"/>
            </w:tcMar>
          </w:tcPr>
          <w:p>
            <w:pPr>
              <w:spacing w:before="40" w:after="40"/>
            </w:pPr>
            <w:r>
              <w:rPr>
                <w:rFonts w:ascii="Calibri" w:hAnsi="Calibri"/>
                <w:color w:val="262626"/>
                <w:sz w:val="20"/>
              </w:rPr>
              <w:t>0.2500</w:t>
            </w:r>
          </w:p>
        </w:tc>
        <w:tc>
          <w:tcPr>
            <w:tcW w:type="dxa" w:w="936"/>
            <w:tcMar>
              <w:top w:w="100" w:type="dxa"/>
              <w:bottom w:w="100" w:type="dxa"/>
              <w:left w:w="120" w:type="dxa"/>
              <w:right w:w="120" w:type="dxa"/>
            </w:tcMar>
          </w:tcPr>
          <w:p>
            <w:pPr>
              <w:spacing w:before="40" w:after="40"/>
            </w:pPr>
            <w:r>
              <w:rPr>
                <w:rFonts w:ascii="Calibri" w:hAnsi="Calibri"/>
                <w:color w:val="262626"/>
                <w:sz w:val="20"/>
              </w:rPr>
              <w:t>0.001</w:t>
            </w:r>
          </w:p>
        </w:tc>
        <w:tc>
          <w:tcPr>
            <w:tcW w:type="dxa" w:w="936"/>
            <w:tcMar>
              <w:top w:w="100" w:type="dxa"/>
              <w:bottom w:w="100" w:type="dxa"/>
              <w:left w:w="120" w:type="dxa"/>
              <w:right w:w="120" w:type="dxa"/>
            </w:tcMar>
          </w:tcPr>
          <w:p>
            <w:pPr>
              <w:spacing w:before="40" w:after="40"/>
            </w:pPr>
            <w:r>
              <w:rPr>
                <w:rFonts w:ascii="Calibri" w:hAnsi="Calibri"/>
                <w:color w:val="262626"/>
                <w:sz w:val="20"/>
              </w:rPr>
              <w:t>429</w:t>
            </w:r>
          </w:p>
        </w:tc>
        <w:tc>
          <w:tcPr>
            <w:tcW w:type="dxa" w:w="936"/>
            <w:tcMar>
              <w:top w:w="100" w:type="dxa"/>
              <w:bottom w:w="100" w:type="dxa"/>
              <w:left w:w="120" w:type="dxa"/>
              <w:right w:w="120" w:type="dxa"/>
            </w:tcMar>
          </w:tcPr>
          <w:p>
            <w:pPr>
              <w:spacing w:before="40" w:after="40"/>
            </w:pPr>
            <w:r>
              <w:rPr>
                <w:rFonts w:ascii="Calibri" w:hAnsi="Calibri"/>
                <w:color w:val="262626"/>
                <w:sz w:val="20"/>
              </w:rPr>
              <w:t>25.01%</w:t>
            </w:r>
          </w:p>
        </w:tc>
        <w:tc>
          <w:tcPr>
            <w:tcW w:type="dxa" w:w="936"/>
            <w:tcMar>
              <w:top w:w="100" w:type="dxa"/>
              <w:bottom w:w="100" w:type="dxa"/>
              <w:left w:w="120" w:type="dxa"/>
              <w:right w:w="120" w:type="dxa"/>
            </w:tcMar>
          </w:tcPr>
          <w:p>
            <w:pPr>
              <w:spacing w:before="40" w:after="40"/>
            </w:pPr>
            <w:r>
              <w:rPr>
                <w:rFonts w:ascii="Calibri" w:hAnsi="Calibri"/>
                <w:color w:val="262626"/>
                <w:sz w:val="20"/>
              </w:rPr>
              <w:t>0.2238</w:t>
            </w:r>
          </w:p>
        </w:tc>
        <w:tc>
          <w:tcPr>
            <w:tcW w:type="dxa" w:w="936"/>
            <w:tcMar>
              <w:top w:w="100" w:type="dxa"/>
              <w:bottom w:w="100" w:type="dxa"/>
              <w:left w:w="120" w:type="dxa"/>
              <w:right w:w="120" w:type="dxa"/>
            </w:tcMar>
          </w:tcPr>
          <w:p>
            <w:pPr>
              <w:spacing w:before="40" w:after="40"/>
            </w:pPr>
            <w:r>
              <w:rPr>
                <w:rFonts w:ascii="Calibri" w:hAnsi="Calibri"/>
                <w:color w:val="262626"/>
                <w:sz w:val="20"/>
              </w:rPr>
              <w:t>0.4192</w:t>
            </w:r>
          </w:p>
        </w:tc>
        <w:tc>
          <w:tcPr>
            <w:tcW w:type="dxa" w:w="936"/>
            <w:tcMar>
              <w:top w:w="100" w:type="dxa"/>
              <w:bottom w:w="100" w:type="dxa"/>
              <w:left w:w="120" w:type="dxa"/>
              <w:right w:w="120" w:type="dxa"/>
            </w:tcMar>
          </w:tcPr>
          <w:p>
            <w:pPr>
              <w:spacing w:before="40" w:after="40"/>
            </w:pPr>
            <w:r>
              <w:rPr>
                <w:rFonts w:ascii="Calibri" w:hAnsi="Calibri"/>
                <w:color w:val="262626"/>
                <w:sz w:val="20"/>
              </w:rPr>
              <w:t>0.2918</w:t>
            </w:r>
          </w:p>
        </w:tc>
        <w:tc>
          <w:tcPr>
            <w:tcW w:type="dxa" w:w="936"/>
            <w:tcMar>
              <w:top w:w="100" w:type="dxa"/>
              <w:bottom w:w="100" w:type="dxa"/>
              <w:left w:w="120" w:type="dxa"/>
              <w:right w:w="120" w:type="dxa"/>
            </w:tcMar>
          </w:tcPr>
          <w:p>
            <w:pPr>
              <w:spacing w:before="40" w:after="40"/>
            </w:pPr>
            <w:r>
              <w:rPr>
                <w:rFonts w:ascii="Calibri" w:hAnsi="Calibri"/>
                <w:color w:val="262626"/>
                <w:sz w:val="20"/>
              </w:rPr>
              <w:t>0.6303</w:t>
            </w:r>
          </w:p>
        </w:tc>
        <w:tc>
          <w:tcPr>
            <w:tcW w:type="dxa" w:w="936"/>
            <w:tcMar>
              <w:top w:w="100" w:type="dxa"/>
              <w:bottom w:w="100" w:type="dxa"/>
              <w:left w:w="120" w:type="dxa"/>
              <w:right w:w="120" w:type="dxa"/>
            </w:tcMar>
          </w:tcPr>
          <w:p>
            <w:pPr>
              <w:spacing w:before="40" w:after="40"/>
            </w:pPr>
            <w:r>
              <w:rPr>
                <w:rFonts w:ascii="Calibri" w:hAnsi="Calibri"/>
                <w:color w:val="262626"/>
                <w:sz w:val="20"/>
              </w:rPr>
              <w:t>0.1993</w:t>
            </w:r>
          </w:p>
        </w:tc>
      </w:tr>
    </w:tbl>
    <w:p/>
    <w:p>
      <w:pPr>
        <w:keepNext/>
        <w:spacing w:before="200" w:after="80"/>
      </w:pPr>
      <w:r>
        <w:rPr>
          <w:rFonts w:ascii="Calibri" w:hAnsi="Calibri"/>
          <w:b/>
          <w:color w:val="333333"/>
          <w:sz w:val="24"/>
        </w:rPr>
        <w:t>Evaluasi &amp; Pembahasan Hyperparameter:</w:t>
      </w:r>
    </w:p>
    <w:p>
      <w:pPr>
        <w:pStyle w:val="ListBullet"/>
        <w:spacing w:before="20" w:after="40"/>
      </w:pPr>
      <w:r/>
      <w:r>
        <w:rPr>
          <w:b/>
        </w:rPr>
        <w:t>Kombinasi Terbaik ($\nu = 0.25, \gamma = 0.5$)</w:t>
      </w:r>
      <w:r>
        <w:t xml:space="preserve">: Menghasilkan </w:t>
      </w:r>
      <w:r>
        <w:rPr>
          <w:b/>
        </w:rPr>
        <w:t>F1-Score tertinggi (0.3482)</w:t>
      </w:r>
      <w:r>
        <w:t xml:space="preserve">, </w:t>
      </w:r>
      <w:r>
        <w:rPr>
          <w:b/>
        </w:rPr>
        <w:t>Recall tertinggi (51.09%)</w:t>
      </w:r>
      <w:r>
        <w:t xml:space="preserve">, dan </w:t>
      </w:r>
      <w:r>
        <w:rPr>
          <w:b/>
        </w:rPr>
        <w:t>ROC-AUC tertinggi (0.6858)</w:t>
      </w:r>
      <w:r>
        <w:t>.</w:t>
      </w:r>
    </w:p>
    <w:p>
      <w:pPr>
        <w:pStyle w:val="ListBullet"/>
        <w:spacing w:before="20" w:after="40"/>
      </w:pPr>
      <w:r/>
      <w:r>
        <w:rPr>
          <w:b/>
        </w:rPr>
        <w:t>Peran Parameter $\gamma = 0.5$</w:t>
      </w:r>
      <w:r>
        <w:t>: Nilai $\gamma = 0.5$ terbukti sangat pas untuk fitur ter-standardisasi. Nilai ini membentuk lekukan *boundary* RBF yang cukup fleksibel untuk menangkap kerentanan makroekonomi lokal tanpa mengalami *overfitting*.</w:t>
      </w:r>
    </w:p>
    <w:p>
      <w:pPr>
        <w:pStyle w:val="ListBullet"/>
        <w:spacing w:before="20" w:after="40"/>
      </w:pPr>
      <w:r/>
      <w:r>
        <w:rPr>
          <w:b/>
        </w:rPr>
        <w:t>Peran Parameter $\nu = 0.25$</w:t>
      </w:r>
      <w:r>
        <w:t>: Memberikan batas *error* hingga 25%, yang memungkinkan model bertindak lebih sensitif sebagai sistem peringatan dini (menangkap 51.1% dari seluruh krisis historis).</w:t>
      </w:r>
    </w:p>
    <w:p>
      <w:pPr>
        <w:pStyle w:val="ListBullet"/>
        <w:spacing w:before="20" w:after="40"/>
      </w:pPr>
      <w:r/>
      <w:r>
        <w:rPr>
          <w:b/>
        </w:rPr>
        <w:t>Oracle Reference ($\nu = 0.1335$)</w:t>
      </w:r>
      <w:r>
        <w:t xml:space="preserve">: Pada setting $\nu = 0.1335$ (sesuai rasio krisis aktual 13.35%), model menghasilkan </w:t>
      </w:r>
      <w:r>
        <w:rPr>
          <w:b/>
        </w:rPr>
        <w:t>ROC-AUC 0.6775</w:t>
      </w:r>
      <w:r>
        <w:t xml:space="preserve"> dan </w:t>
      </w:r>
      <w:r>
        <w:rPr>
          <w:b/>
        </w:rPr>
        <w:t>PR-AUC 0.2575</w:t>
      </w:r>
      <w:r>
        <w:t xml:space="preserve"> dengan tingkat recall 36.24%.</w:t>
      </w:r>
    </w:p>
    <w:p>
      <w:pPr>
        <w:spacing w:before="120" w:after="120"/>
        <w:pBdr>
          <w:bottom w:val="single" w:sz="6" w:space="1" w:color="CCCCCC"/>
        </w:pBdr>
      </w:pPr>
    </w:p>
    <w:p>
      <w:pPr>
        <w:keepNext/>
        <w:spacing w:before="280" w:after="120"/>
      </w:pPr>
      <w:r>
        <w:rPr>
          <w:rFonts w:ascii="Calibri" w:hAnsi="Calibri"/>
          <w:b/>
          <w:color w:val="2E5B88"/>
          <w:sz w:val="28"/>
        </w:rPr>
        <w:t>6. Hasil Pemodelan &amp; Evaluasi Performa Model Terbaik</w:t>
      </w:r>
    </w:p>
    <w:p>
      <w:pPr>
        <w:keepNext/>
        <w:spacing w:before="200" w:after="80"/>
      </w:pPr>
      <w:r>
        <w:rPr>
          <w:rFonts w:ascii="Calibri" w:hAnsi="Calibri"/>
          <w:b/>
          <w:color w:val="333333"/>
          <w:sz w:val="24"/>
        </w:rPr>
        <w:t>6.1 Evaluasi Metrik vs Ground Truth IMF</w:t>
      </w:r>
    </w:p>
    <w:tbl>
      <w:tblPr>
        <w:tblW w:type="auto" w:w="0"/>
        <w:jc w:val="center"/>
        <w:tblLook w:firstColumn="1" w:firstRow="1" w:lastColumn="0" w:lastRow="0" w:noHBand="0" w:noVBand="1" w:val="04A0"/>
        <w:tblBorders>
          <w:top w:val="single" w:sz="4" w:space="0" w:color="D3D3D3"/>
          <w:left w:val="none"/>
          <w:bottom w:val="single" w:sz="6" w:space="0" w:color="1F4E78"/>
          <w:right w:val="none"/>
          <w:insideH w:val="single" w:sz="4" w:space="0" w:color="D3D3D3"/>
          <w:insideV w:val="none"/>
        </w:tblBorders>
      </w:tblPr>
      <w:tblGrid>
        <w:gridCol w:w="3120"/>
        <w:gridCol w:w="3120"/>
        <w:gridCol w:w="3120"/>
      </w:tblGrid>
      <w:tr>
        <w:tc>
          <w:tcPr>
            <w:tcW w:type="dxa" w:w="3120"/>
            <w:tcMar>
              <w:top w:w="100" w:type="dxa"/>
              <w:bottom w:w="100" w:type="dxa"/>
              <w:left w:w="120" w:type="dxa"/>
              <w:right w:w="120" w:type="dxa"/>
            </w:tcMar>
            <w:shd w:fill="1F4E78"/>
          </w:tcPr>
          <w:p>
            <w:pPr>
              <w:spacing w:before="40" w:after="40"/>
            </w:pPr>
            <w:r>
              <w:rPr>
                <w:rFonts w:ascii="Calibri" w:hAnsi="Calibri"/>
                <w:b/>
                <w:color w:val="FFFFFF"/>
                <w:sz w:val="20"/>
              </w:rPr>
              <w:t>Metrik Evaluasi</w:t>
            </w:r>
          </w:p>
        </w:tc>
        <w:tc>
          <w:tcPr>
            <w:tcW w:type="dxa" w:w="3120"/>
            <w:tcMar>
              <w:top w:w="100" w:type="dxa"/>
              <w:bottom w:w="100" w:type="dxa"/>
              <w:left w:w="120" w:type="dxa"/>
              <w:right w:w="120" w:type="dxa"/>
            </w:tcMar>
            <w:shd w:fill="1F4E78"/>
          </w:tcPr>
          <w:p>
            <w:pPr>
              <w:spacing w:before="40" w:after="40"/>
            </w:pPr>
            <w:r>
              <w:rPr>
                <w:rFonts w:ascii="Calibri" w:hAnsi="Calibri"/>
                <w:b/>
                <w:color w:val="FFFFFF"/>
                <w:sz w:val="20"/>
              </w:rPr>
              <w:t>Nilai</w:t>
            </w:r>
          </w:p>
        </w:tc>
        <w:tc>
          <w:tcPr>
            <w:tcW w:type="dxa" w:w="3120"/>
            <w:tcMar>
              <w:top w:w="100" w:type="dxa"/>
              <w:bottom w:w="100" w:type="dxa"/>
              <w:left w:w="120" w:type="dxa"/>
              <w:right w:w="120" w:type="dxa"/>
            </w:tcMar>
            <w:shd w:fill="1F4E78"/>
          </w:tcPr>
          <w:p>
            <w:pPr>
              <w:spacing w:before="40" w:after="40"/>
            </w:pPr>
            <w:r>
              <w:rPr>
                <w:rFonts w:ascii="Calibri" w:hAnsi="Calibri"/>
                <w:b/>
                <w:color w:val="FFFFFF"/>
                <w:sz w:val="20"/>
              </w:rPr>
              <w:t>Penjelasan &amp; Interpretasi Akademis</w:t>
            </w:r>
          </w:p>
        </w:tc>
      </w:tr>
      <w:tr>
        <w:tc>
          <w:tcPr>
            <w:tcW w:type="dxa" w:w="3120"/>
            <w:tcMar>
              <w:top w:w="100" w:type="dxa"/>
              <w:bottom w:w="100" w:type="dxa"/>
              <w:left w:w="120" w:type="dxa"/>
              <w:right w:w="120" w:type="dxa"/>
            </w:tcMar>
            <w:shd w:fill="F2F4F7"/>
          </w:tcPr>
          <w:p>
            <w:pPr>
              <w:spacing w:before="40" w:after="40"/>
            </w:pPr>
            <w:r>
              <w:rPr>
                <w:rFonts w:ascii="Calibri" w:hAnsi="Calibri"/>
                <w:color w:val="262626"/>
                <w:sz w:val="20"/>
              </w:rPr>
              <w:t>**Precision**</w:t>
            </w:r>
          </w:p>
        </w:tc>
        <w:tc>
          <w:tcPr>
            <w:tcW w:type="dxa" w:w="3120"/>
            <w:tcMar>
              <w:top w:w="100" w:type="dxa"/>
              <w:bottom w:w="100" w:type="dxa"/>
              <w:left w:w="120" w:type="dxa"/>
              <w:right w:w="120" w:type="dxa"/>
            </w:tcMar>
            <w:shd w:fill="F2F4F7"/>
          </w:tcPr>
          <w:p>
            <w:pPr>
              <w:spacing w:before="40" w:after="40"/>
            </w:pPr>
            <w:r>
              <w:rPr>
                <w:rFonts w:ascii="Calibri" w:hAnsi="Calibri"/>
                <w:color w:val="262626"/>
                <w:sz w:val="20"/>
              </w:rPr>
              <w:t>0.2641 (26.4%)</w:t>
            </w:r>
          </w:p>
        </w:tc>
        <w:tc>
          <w:tcPr>
            <w:tcW w:type="dxa" w:w="3120"/>
            <w:tcMar>
              <w:top w:w="100" w:type="dxa"/>
              <w:bottom w:w="100" w:type="dxa"/>
              <w:left w:w="120" w:type="dxa"/>
              <w:right w:w="120" w:type="dxa"/>
            </w:tcMar>
            <w:shd w:fill="F2F4F7"/>
          </w:tcPr>
          <w:p>
            <w:pPr>
              <w:spacing w:before="40" w:after="40"/>
            </w:pPr>
            <w:r>
              <w:rPr>
                <w:rFonts w:ascii="Calibri" w:hAnsi="Calibri"/>
                <w:color w:val="262626"/>
                <w:sz w:val="20"/>
              </w:rPr>
              <w:t>Dari 443 sinyal anomali yang dikeluarkan model, 117 di antaranya divalidasi oleh IMF sebagai krisis aktual. Sebagian sinyal *false alarm* merepresentasikan periode tekanan pra-krisis.</w:t>
            </w:r>
          </w:p>
        </w:tc>
      </w:tr>
      <w:tr>
        <w:tc>
          <w:tcPr>
            <w:tcW w:type="dxa" w:w="3120"/>
            <w:tcMar>
              <w:top w:w="100" w:type="dxa"/>
              <w:bottom w:w="100" w:type="dxa"/>
              <w:left w:w="120" w:type="dxa"/>
              <w:right w:w="120" w:type="dxa"/>
            </w:tcMar>
          </w:tcPr>
          <w:p>
            <w:pPr>
              <w:spacing w:before="40" w:after="40"/>
            </w:pPr>
            <w:r>
              <w:rPr>
                <w:rFonts w:ascii="Calibri" w:hAnsi="Calibri"/>
                <w:color w:val="262626"/>
                <w:sz w:val="20"/>
              </w:rPr>
              <w:t>**Recall**</w:t>
            </w:r>
          </w:p>
        </w:tc>
        <w:tc>
          <w:tcPr>
            <w:tcW w:type="dxa" w:w="3120"/>
            <w:tcMar>
              <w:top w:w="100" w:type="dxa"/>
              <w:bottom w:w="100" w:type="dxa"/>
              <w:left w:w="120" w:type="dxa"/>
              <w:right w:w="120" w:type="dxa"/>
            </w:tcMar>
          </w:tcPr>
          <w:p>
            <w:pPr>
              <w:spacing w:before="40" w:after="40"/>
            </w:pPr>
            <w:r>
              <w:rPr>
                <w:rFonts w:ascii="Calibri" w:hAnsi="Calibri"/>
                <w:color w:val="262626"/>
                <w:sz w:val="20"/>
              </w:rPr>
              <w:t>0.5109 (51.1%)</w:t>
            </w:r>
          </w:p>
        </w:tc>
        <w:tc>
          <w:tcPr>
            <w:tcW w:type="dxa" w:w="3120"/>
            <w:tcMar>
              <w:top w:w="100" w:type="dxa"/>
              <w:bottom w:w="100" w:type="dxa"/>
              <w:left w:w="120" w:type="dxa"/>
              <w:right w:w="120" w:type="dxa"/>
            </w:tcMar>
          </w:tcPr>
          <w:p>
            <w:pPr>
              <w:spacing w:before="40" w:after="40"/>
            </w:pPr>
            <w:r>
              <w:rPr>
                <w:rFonts w:ascii="Calibri" w:hAnsi="Calibri"/>
                <w:color w:val="262626"/>
                <w:sz w:val="20"/>
              </w:rPr>
              <w:t>**Model berhasil mendeteksi lebih dari separuh (51.1%) dari seluruh krisis makroekonomi historis.**</w:t>
            </w:r>
          </w:p>
        </w:tc>
      </w:tr>
      <w:tr>
        <w:tc>
          <w:tcPr>
            <w:tcW w:type="dxa" w:w="3120"/>
            <w:tcMar>
              <w:top w:w="100" w:type="dxa"/>
              <w:bottom w:w="100" w:type="dxa"/>
              <w:left w:w="120" w:type="dxa"/>
              <w:right w:w="120" w:type="dxa"/>
            </w:tcMar>
            <w:shd w:fill="F2F4F7"/>
          </w:tcPr>
          <w:p>
            <w:pPr>
              <w:spacing w:before="40" w:after="40"/>
            </w:pPr>
            <w:r>
              <w:rPr>
                <w:rFonts w:ascii="Calibri" w:hAnsi="Calibri"/>
                <w:color w:val="262626"/>
                <w:sz w:val="20"/>
              </w:rPr>
              <w:t>**F1-Score**</w:t>
            </w:r>
          </w:p>
        </w:tc>
        <w:tc>
          <w:tcPr>
            <w:tcW w:type="dxa" w:w="3120"/>
            <w:tcMar>
              <w:top w:w="100" w:type="dxa"/>
              <w:bottom w:w="100" w:type="dxa"/>
              <w:left w:w="120" w:type="dxa"/>
              <w:right w:w="120" w:type="dxa"/>
            </w:tcMar>
            <w:shd w:fill="F2F4F7"/>
          </w:tcPr>
          <w:p>
            <w:pPr>
              <w:spacing w:before="40" w:after="40"/>
            </w:pPr>
            <w:r>
              <w:rPr>
                <w:rFonts w:ascii="Calibri" w:hAnsi="Calibri"/>
                <w:color w:val="262626"/>
                <w:sz w:val="20"/>
              </w:rPr>
              <w:t>0.3482 (34.8%)</w:t>
            </w:r>
          </w:p>
        </w:tc>
        <w:tc>
          <w:tcPr>
            <w:tcW w:type="dxa" w:w="3120"/>
            <w:tcMar>
              <w:top w:w="100" w:type="dxa"/>
              <w:bottom w:w="100" w:type="dxa"/>
              <w:left w:w="120" w:type="dxa"/>
              <w:right w:w="120" w:type="dxa"/>
            </w:tcMar>
            <w:shd w:fill="F2F4F7"/>
          </w:tcPr>
          <w:p>
            <w:pPr>
              <w:spacing w:before="40" w:after="40"/>
            </w:pPr>
            <w:r>
              <w:rPr>
                <w:rFonts w:ascii="Calibri" w:hAnsi="Calibri"/>
                <w:color w:val="262626"/>
                <w:sz w:val="20"/>
              </w:rPr>
              <w:t>Mengukur keseimbangan harmonik antara cakupan deteksi dan presisi.</w:t>
            </w:r>
          </w:p>
        </w:tc>
      </w:tr>
      <w:tr>
        <w:tc>
          <w:tcPr>
            <w:tcW w:type="dxa" w:w="3120"/>
            <w:tcMar>
              <w:top w:w="100" w:type="dxa"/>
              <w:bottom w:w="100" w:type="dxa"/>
              <w:left w:w="120" w:type="dxa"/>
              <w:right w:w="120" w:type="dxa"/>
            </w:tcMar>
          </w:tcPr>
          <w:p>
            <w:pPr>
              <w:spacing w:before="40" w:after="40"/>
            </w:pPr>
            <w:r>
              <w:rPr>
                <w:rFonts w:ascii="Calibri" w:hAnsi="Calibri"/>
                <w:color w:val="262626"/>
                <w:sz w:val="20"/>
              </w:rPr>
              <w:t>**ROC-AUC**</w:t>
            </w:r>
          </w:p>
        </w:tc>
        <w:tc>
          <w:tcPr>
            <w:tcW w:type="dxa" w:w="3120"/>
            <w:tcMar>
              <w:top w:w="100" w:type="dxa"/>
              <w:bottom w:w="100" w:type="dxa"/>
              <w:left w:w="120" w:type="dxa"/>
              <w:right w:w="120" w:type="dxa"/>
            </w:tcMar>
          </w:tcPr>
          <w:p>
            <w:pPr>
              <w:spacing w:before="40" w:after="40"/>
            </w:pPr>
            <w:r>
              <w:rPr>
                <w:rFonts w:ascii="Calibri" w:hAnsi="Calibri"/>
                <w:color w:val="262626"/>
                <w:sz w:val="20"/>
              </w:rPr>
              <w:t>0.6858</w:t>
            </w:r>
          </w:p>
        </w:tc>
        <w:tc>
          <w:tcPr>
            <w:tcW w:type="dxa" w:w="3120"/>
            <w:tcMar>
              <w:top w:w="100" w:type="dxa"/>
              <w:bottom w:w="100" w:type="dxa"/>
              <w:left w:w="120" w:type="dxa"/>
              <w:right w:w="120" w:type="dxa"/>
            </w:tcMar>
          </w:tcPr>
          <w:p>
            <w:pPr>
              <w:spacing w:before="40" w:after="40"/>
            </w:pPr>
            <w:r>
              <w:rPr>
                <w:rFonts w:ascii="Calibri" w:hAnsi="Calibri"/>
                <w:color w:val="262626"/>
                <w:sz w:val="20"/>
              </w:rPr>
              <w:t>Menunjukkan kemampuan diskriminasi kontinu skor anomali yang kuat (jauh melampaui random guess 0.50).</w:t>
            </w:r>
          </w:p>
        </w:tc>
      </w:tr>
      <w:tr>
        <w:tc>
          <w:tcPr>
            <w:tcW w:type="dxa" w:w="3120"/>
            <w:tcMar>
              <w:top w:w="100" w:type="dxa"/>
              <w:bottom w:w="100" w:type="dxa"/>
              <w:left w:w="120" w:type="dxa"/>
              <w:right w:w="120" w:type="dxa"/>
            </w:tcMar>
            <w:shd w:fill="F2F4F7"/>
          </w:tcPr>
          <w:p>
            <w:pPr>
              <w:spacing w:before="40" w:after="40"/>
            </w:pPr>
            <w:r>
              <w:rPr>
                <w:rFonts w:ascii="Calibri" w:hAnsi="Calibri"/>
                <w:color w:val="262626"/>
                <w:sz w:val="20"/>
              </w:rPr>
              <w:t>**PR-AUC**</w:t>
            </w:r>
          </w:p>
        </w:tc>
        <w:tc>
          <w:tcPr>
            <w:tcW w:type="dxa" w:w="3120"/>
            <w:tcMar>
              <w:top w:w="100" w:type="dxa"/>
              <w:bottom w:w="100" w:type="dxa"/>
              <w:left w:w="120" w:type="dxa"/>
              <w:right w:w="120" w:type="dxa"/>
            </w:tcMar>
            <w:shd w:fill="F2F4F7"/>
          </w:tcPr>
          <w:p>
            <w:pPr>
              <w:spacing w:before="40" w:after="40"/>
            </w:pPr>
            <w:r>
              <w:rPr>
                <w:rFonts w:ascii="Calibri" w:hAnsi="Calibri"/>
                <w:color w:val="262626"/>
                <w:sz w:val="20"/>
              </w:rPr>
              <w:t>0.2781</w:t>
            </w:r>
          </w:p>
        </w:tc>
        <w:tc>
          <w:tcPr>
            <w:tcW w:type="dxa" w:w="3120"/>
            <w:tcMar>
              <w:top w:w="100" w:type="dxa"/>
              <w:bottom w:w="100" w:type="dxa"/>
              <w:left w:w="120" w:type="dxa"/>
              <w:right w:w="120" w:type="dxa"/>
            </w:tcMar>
            <w:shd w:fill="F2F4F7"/>
          </w:tcPr>
          <w:p>
            <w:pPr>
              <w:spacing w:before="40" w:after="40"/>
            </w:pPr>
            <w:r>
              <w:rPr>
                <w:rFonts w:ascii="Calibri" w:hAnsi="Calibri"/>
                <w:color w:val="262626"/>
                <w:sz w:val="20"/>
              </w:rPr>
              <w:t>Dua kali lipat lebih tinggi dari nilai baseline imbalanced data (0.1335).</w:t>
            </w:r>
          </w:p>
        </w:tc>
      </w:tr>
    </w:tbl>
    <w:p/>
    <w:p>
      <w:pPr>
        <w:keepNext/>
        <w:spacing w:before="200" w:after="80"/>
      </w:pPr>
      <w:r>
        <w:rPr>
          <w:rFonts w:ascii="Calibri" w:hAnsi="Calibri"/>
          <w:b/>
          <w:color w:val="333333"/>
          <w:sz w:val="24"/>
        </w:rPr>
        <w:t>6.2 Breakdown Confusion Matrix</w:t>
      </w:r>
    </w:p>
    <w:tbl>
      <w:tblPr>
        <w:tblW w:type="auto" w:w="0"/>
        <w:jc w:val="center"/>
        <w:tblLook w:firstColumn="1" w:firstRow="1" w:lastColumn="0" w:lastRow="0" w:noHBand="0" w:noVBand="1" w:val="04A0"/>
        <w:tblBorders>
          <w:top w:val="single" w:sz="4" w:space="0" w:color="D3D3D3"/>
          <w:left w:val="none"/>
          <w:bottom w:val="single" w:sz="6" w:space="0" w:color="1F4E78"/>
          <w:right w:val="none"/>
          <w:insideH w:val="single" w:sz="4" w:space="0" w:color="D3D3D3"/>
          <w:insideV w:val="none"/>
        </w:tblBorders>
      </w:tblPr>
      <w:tblGrid>
        <w:gridCol w:w="2340"/>
        <w:gridCol w:w="2340"/>
        <w:gridCol w:w="2340"/>
        <w:gridCol w:w="2340"/>
      </w:tblGrid>
      <w:tr>
        <w:tc>
          <w:tcPr>
            <w:tcW w:type="dxa" w:w="2340"/>
            <w:tcMar>
              <w:top w:w="100" w:type="dxa"/>
              <w:bottom w:w="100" w:type="dxa"/>
              <w:left w:w="120" w:type="dxa"/>
              <w:right w:w="120" w:type="dxa"/>
            </w:tcMar>
            <w:shd w:fill="1F4E78"/>
          </w:tcPr>
          <w:p>
            <w:pPr>
              <w:spacing w:before="40" w:after="40"/>
            </w:pPr>
            <w:r>
              <w:rPr>
                <w:rFonts w:ascii="Calibri" w:hAnsi="Calibri"/>
                <w:b/>
                <w:color w:val="FFFFFF"/>
                <w:sz w:val="20"/>
              </w:rPr>
            </w:r>
          </w:p>
        </w:tc>
        <w:tc>
          <w:tcPr>
            <w:tcW w:type="dxa" w:w="2340"/>
            <w:tcMar>
              <w:top w:w="100" w:type="dxa"/>
              <w:bottom w:w="100" w:type="dxa"/>
              <w:left w:w="120" w:type="dxa"/>
              <w:right w:w="120" w:type="dxa"/>
            </w:tcMar>
            <w:shd w:fill="1F4E78"/>
          </w:tcPr>
          <w:p>
            <w:pPr>
              <w:spacing w:before="40" w:after="40"/>
            </w:pPr>
            <w:r>
              <w:rPr>
                <w:rFonts w:ascii="Calibri" w:hAnsi="Calibri"/>
                <w:b/>
                <w:color w:val="FFFFFF"/>
                <w:sz w:val="20"/>
              </w:rPr>
              <w:t>**Prediksi: Normal (0)**</w:t>
            </w:r>
          </w:p>
        </w:tc>
        <w:tc>
          <w:tcPr>
            <w:tcW w:type="dxa" w:w="2340"/>
            <w:tcMar>
              <w:top w:w="100" w:type="dxa"/>
              <w:bottom w:w="100" w:type="dxa"/>
              <w:left w:w="120" w:type="dxa"/>
              <w:right w:w="120" w:type="dxa"/>
            </w:tcMar>
            <w:shd w:fill="1F4E78"/>
          </w:tcPr>
          <w:p>
            <w:pPr>
              <w:spacing w:before="40" w:after="40"/>
            </w:pPr>
            <w:r>
              <w:rPr>
                <w:rFonts w:ascii="Calibri" w:hAnsi="Calibri"/>
                <w:b/>
                <w:color w:val="FFFFFF"/>
                <w:sz w:val="20"/>
              </w:rPr>
              <w:t>**Prediksi: Anomali (1)**</w:t>
            </w:r>
          </w:p>
        </w:tc>
        <w:tc>
          <w:tcPr>
            <w:tcW w:type="dxa" w:w="2340"/>
            <w:tcMar>
              <w:top w:w="100" w:type="dxa"/>
              <w:bottom w:w="100" w:type="dxa"/>
              <w:left w:w="120" w:type="dxa"/>
              <w:right w:w="120" w:type="dxa"/>
            </w:tcMar>
            <w:shd w:fill="1F4E78"/>
          </w:tcPr>
          <w:p>
            <w:pPr>
              <w:spacing w:before="40" w:after="40"/>
            </w:pPr>
            <w:r>
              <w:rPr>
                <w:rFonts w:ascii="Calibri" w:hAnsi="Calibri"/>
                <w:b/>
                <w:color w:val="FFFFFF"/>
                <w:sz w:val="20"/>
              </w:rPr>
              <w:t>**Total**</w:t>
            </w:r>
          </w:p>
        </w:tc>
      </w:tr>
      <w:tr>
        <w:tc>
          <w:tcPr>
            <w:tcW w:type="dxa" w:w="2340"/>
            <w:tcMar>
              <w:top w:w="100" w:type="dxa"/>
              <w:bottom w:w="100" w:type="dxa"/>
              <w:left w:w="120" w:type="dxa"/>
              <w:right w:w="120" w:type="dxa"/>
            </w:tcMar>
            <w:shd w:fill="F2F4F7"/>
          </w:tcPr>
          <w:p>
            <w:pPr>
              <w:spacing w:before="40" w:after="40"/>
            </w:pPr>
            <w:r>
              <w:rPr>
                <w:rFonts w:ascii="Calibri" w:hAnsi="Calibri"/>
                <w:color w:val="262626"/>
                <w:sz w:val="20"/>
              </w:rPr>
              <w:t>**Aktual: Normal (0)**</w:t>
            </w:r>
          </w:p>
        </w:tc>
        <w:tc>
          <w:tcPr>
            <w:tcW w:type="dxa" w:w="2340"/>
            <w:tcMar>
              <w:top w:w="100" w:type="dxa"/>
              <w:bottom w:w="100" w:type="dxa"/>
              <w:left w:w="120" w:type="dxa"/>
              <w:right w:w="120" w:type="dxa"/>
            </w:tcMar>
            <w:shd w:fill="F2F4F7"/>
          </w:tcPr>
          <w:p>
            <w:pPr>
              <w:spacing w:before="40" w:after="40"/>
            </w:pPr>
            <w:r>
              <w:rPr>
                <w:rFonts w:ascii="Calibri" w:hAnsi="Calibri"/>
                <w:color w:val="262626"/>
                <w:sz w:val="20"/>
              </w:rPr>
              <w:t>**TN = 1.160** (78.1%)</w:t>
            </w:r>
          </w:p>
        </w:tc>
        <w:tc>
          <w:tcPr>
            <w:tcW w:type="dxa" w:w="2340"/>
            <w:tcMar>
              <w:top w:w="100" w:type="dxa"/>
              <w:bottom w:w="100" w:type="dxa"/>
              <w:left w:w="120" w:type="dxa"/>
              <w:right w:w="120" w:type="dxa"/>
            </w:tcMar>
            <w:shd w:fill="F2F4F7"/>
          </w:tcPr>
          <w:p>
            <w:pPr>
              <w:spacing w:before="40" w:after="40"/>
            </w:pPr>
            <w:r>
              <w:rPr>
                <w:rFonts w:ascii="Calibri" w:hAnsi="Calibri"/>
                <w:color w:val="262626"/>
                <w:sz w:val="20"/>
              </w:rPr>
              <w:t>**FP = 326** (21.9%)</w:t>
            </w:r>
          </w:p>
        </w:tc>
        <w:tc>
          <w:tcPr>
            <w:tcW w:type="dxa" w:w="2340"/>
            <w:tcMar>
              <w:top w:w="100" w:type="dxa"/>
              <w:bottom w:w="100" w:type="dxa"/>
              <w:left w:w="120" w:type="dxa"/>
              <w:right w:w="120" w:type="dxa"/>
            </w:tcMar>
            <w:shd w:fill="F2F4F7"/>
          </w:tcPr>
          <w:p>
            <w:pPr>
              <w:spacing w:before="40" w:after="40"/>
            </w:pPr>
            <w:r>
              <w:rPr>
                <w:rFonts w:ascii="Calibri" w:hAnsi="Calibri"/>
                <w:color w:val="262626"/>
                <w:sz w:val="20"/>
              </w:rPr>
              <w:t>1.486</w:t>
            </w:r>
          </w:p>
        </w:tc>
      </w:tr>
      <w:tr>
        <w:tc>
          <w:tcPr>
            <w:tcW w:type="dxa" w:w="2340"/>
            <w:tcMar>
              <w:top w:w="100" w:type="dxa"/>
              <w:bottom w:w="100" w:type="dxa"/>
              <w:left w:w="120" w:type="dxa"/>
              <w:right w:w="120" w:type="dxa"/>
            </w:tcMar>
          </w:tcPr>
          <w:p>
            <w:pPr>
              <w:spacing w:before="40" w:after="40"/>
            </w:pPr>
            <w:r>
              <w:rPr>
                <w:rFonts w:ascii="Calibri" w:hAnsi="Calibri"/>
                <w:color w:val="262626"/>
                <w:sz w:val="20"/>
              </w:rPr>
              <w:t>**Aktual: Krisis (1)**</w:t>
            </w:r>
          </w:p>
        </w:tc>
        <w:tc>
          <w:tcPr>
            <w:tcW w:type="dxa" w:w="2340"/>
            <w:tcMar>
              <w:top w:w="100" w:type="dxa"/>
              <w:bottom w:w="100" w:type="dxa"/>
              <w:left w:w="120" w:type="dxa"/>
              <w:right w:w="120" w:type="dxa"/>
            </w:tcMar>
          </w:tcPr>
          <w:p>
            <w:pPr>
              <w:spacing w:before="40" w:after="40"/>
            </w:pPr>
            <w:r>
              <w:rPr>
                <w:rFonts w:ascii="Calibri" w:hAnsi="Calibri"/>
                <w:color w:val="262626"/>
                <w:sz w:val="20"/>
              </w:rPr>
              <w:t>**FN = 112** (48.9%)</w:t>
            </w:r>
          </w:p>
        </w:tc>
        <w:tc>
          <w:tcPr>
            <w:tcW w:type="dxa" w:w="2340"/>
            <w:tcMar>
              <w:top w:w="100" w:type="dxa"/>
              <w:bottom w:w="100" w:type="dxa"/>
              <w:left w:w="120" w:type="dxa"/>
              <w:right w:w="120" w:type="dxa"/>
            </w:tcMar>
          </w:tcPr>
          <w:p>
            <w:pPr>
              <w:spacing w:before="40" w:after="40"/>
            </w:pPr>
            <w:r>
              <w:rPr>
                <w:rFonts w:ascii="Calibri" w:hAnsi="Calibri"/>
                <w:color w:val="262626"/>
                <w:sz w:val="20"/>
              </w:rPr>
              <w:t>**TP = 117** (51.1%)</w:t>
            </w:r>
          </w:p>
        </w:tc>
        <w:tc>
          <w:tcPr>
            <w:tcW w:type="dxa" w:w="2340"/>
            <w:tcMar>
              <w:top w:w="100" w:type="dxa"/>
              <w:bottom w:w="100" w:type="dxa"/>
              <w:left w:w="120" w:type="dxa"/>
              <w:right w:w="120" w:type="dxa"/>
            </w:tcMar>
          </w:tcPr>
          <w:p>
            <w:pPr>
              <w:spacing w:before="40" w:after="40"/>
            </w:pPr>
            <w:r>
              <w:rPr>
                <w:rFonts w:ascii="Calibri" w:hAnsi="Calibri"/>
                <w:color w:val="262626"/>
                <w:sz w:val="20"/>
              </w:rPr>
              <w:t>229</w:t>
            </w:r>
          </w:p>
        </w:tc>
      </w:tr>
      <w:tr>
        <w:tc>
          <w:tcPr>
            <w:tcW w:type="dxa" w:w="2340"/>
            <w:tcMar>
              <w:top w:w="100" w:type="dxa"/>
              <w:bottom w:w="100" w:type="dxa"/>
              <w:left w:w="120" w:type="dxa"/>
              <w:right w:w="120" w:type="dxa"/>
            </w:tcMar>
            <w:shd w:fill="F2F4F7"/>
          </w:tcPr>
          <w:p>
            <w:pPr>
              <w:spacing w:before="40" w:after="40"/>
            </w:pPr>
            <w:r>
              <w:rPr>
                <w:rFonts w:ascii="Calibri" w:hAnsi="Calibri"/>
                <w:color w:val="262626"/>
                <w:sz w:val="20"/>
              </w:rPr>
              <w:t>**Total**</w:t>
            </w:r>
          </w:p>
        </w:tc>
        <w:tc>
          <w:tcPr>
            <w:tcW w:type="dxa" w:w="2340"/>
            <w:tcMar>
              <w:top w:w="100" w:type="dxa"/>
              <w:bottom w:w="100" w:type="dxa"/>
              <w:left w:w="120" w:type="dxa"/>
              <w:right w:w="120" w:type="dxa"/>
            </w:tcMar>
            <w:shd w:fill="F2F4F7"/>
          </w:tcPr>
          <w:p>
            <w:pPr>
              <w:spacing w:before="40" w:after="40"/>
            </w:pPr>
            <w:r>
              <w:rPr>
                <w:rFonts w:ascii="Calibri" w:hAnsi="Calibri"/>
                <w:color w:val="262626"/>
                <w:sz w:val="20"/>
              </w:rPr>
              <w:t>1.272</w:t>
            </w:r>
          </w:p>
        </w:tc>
        <w:tc>
          <w:tcPr>
            <w:tcW w:type="dxa" w:w="2340"/>
            <w:tcMar>
              <w:top w:w="100" w:type="dxa"/>
              <w:bottom w:w="100" w:type="dxa"/>
              <w:left w:w="120" w:type="dxa"/>
              <w:right w:w="120" w:type="dxa"/>
            </w:tcMar>
            <w:shd w:fill="F2F4F7"/>
          </w:tcPr>
          <w:p>
            <w:pPr>
              <w:spacing w:before="40" w:after="40"/>
            </w:pPr>
            <w:r>
              <w:rPr>
                <w:rFonts w:ascii="Calibri" w:hAnsi="Calibri"/>
                <w:color w:val="262626"/>
                <w:sz w:val="20"/>
              </w:rPr>
              <w:t>443</w:t>
            </w:r>
          </w:p>
        </w:tc>
        <w:tc>
          <w:tcPr>
            <w:tcW w:type="dxa" w:w="2340"/>
            <w:tcMar>
              <w:top w:w="100" w:type="dxa"/>
              <w:bottom w:w="100" w:type="dxa"/>
              <w:left w:w="120" w:type="dxa"/>
              <w:right w:w="120" w:type="dxa"/>
            </w:tcMar>
            <w:shd w:fill="F2F4F7"/>
          </w:tcPr>
          <w:p>
            <w:pPr>
              <w:spacing w:before="40" w:after="40"/>
            </w:pPr>
            <w:r>
              <w:rPr>
                <w:rFonts w:ascii="Calibri" w:hAnsi="Calibri"/>
                <w:color w:val="262626"/>
                <w:sz w:val="20"/>
              </w:rPr>
              <w:t>1.715</w:t>
            </w:r>
          </w:p>
        </w:tc>
      </w:tr>
    </w:tbl>
    <w:p/>
    <w:p>
      <w:pPr>
        <w:pStyle w:val="ListBullet"/>
        <w:spacing w:before="20" w:after="40"/>
      </w:pPr>
      <w:r/>
      <w:r>
        <w:rPr>
          <w:b/>
        </w:rPr>
        <w:t>True Positive (TP = 117)</w:t>
      </w:r>
      <w:r>
        <w:t>: 117 periode krisis berhasil ditangkap dengan tepat.</w:t>
      </w:r>
    </w:p>
    <w:p>
      <w:pPr>
        <w:pStyle w:val="ListBullet"/>
        <w:spacing w:before="20" w:after="40"/>
      </w:pPr>
      <w:r/>
      <w:r>
        <w:rPr>
          <w:b/>
        </w:rPr>
        <w:t>False Positive (FP = 326)</w:t>
      </w:r>
      <w:r>
        <w:t>: 326 observasi normal ditandai anomali. Dalam konteks EWS, *false alarm* seringkali merepresentasikan kerentanan struktural atau kondisi pra-krisis.</w:t>
      </w:r>
    </w:p>
    <w:p>
      <w:pPr>
        <w:pStyle w:val="ListBullet"/>
        <w:spacing w:before="20" w:after="40"/>
      </w:pPr>
      <w:r/>
      <w:r>
        <w:rPr>
          <w:b/>
        </w:rPr>
        <w:t>False Negative (FN = 112)</w:t>
      </w:r>
      <w:r>
        <w:t>: 112 periode krisis yang terlewatkan (krisis dengan indikator makro yang relatif stabil).</w:t>
      </w:r>
    </w:p>
    <w:p>
      <w:pPr>
        <w:pStyle w:val="ListBullet"/>
        <w:spacing w:before="20" w:after="40"/>
      </w:pPr>
      <w:r/>
      <w:r>
        <w:rPr>
          <w:b/>
        </w:rPr>
        <w:t>True Negative (TN = 1.160)</w:t>
      </w:r>
      <w:r>
        <w:t>: 1.160 periode normal berhasil diidentifikasi secara tepat.</w:t>
      </w:r>
    </w:p>
    <w:p>
      <w:pPr>
        <w:spacing w:before="120" w:after="120"/>
        <w:pBdr>
          <w:bottom w:val="single" w:sz="6" w:space="1" w:color="CCCCCC"/>
        </w:pBdr>
      </w:pPr>
    </w:p>
    <w:p>
      <w:pPr>
        <w:keepNext/>
        <w:spacing w:before="280" w:after="120"/>
      </w:pPr>
      <w:r>
        <w:rPr>
          <w:rFonts w:ascii="Calibri" w:hAnsi="Calibri"/>
          <w:b/>
          <w:color w:val="2E5B88"/>
          <w:sz w:val="28"/>
        </w:rPr>
        <w:t>7. Deteksi per Krisis Historis — Analisis Mendalam</w:t>
      </w:r>
    </w:p>
    <w:p>
      <w:pPr>
        <w:spacing w:before="40" w:after="80" w:line="276" w:lineRule="auto"/>
      </w:pPr>
      <w:r>
        <w:t>Pengujian daya deteksi model terhadap 6 episode krisis utama dalam sejarah ekonomi global:</w:t>
      </w:r>
    </w:p>
    <w:tbl>
      <w:tblPr>
        <w:tblW w:type="auto" w:w="0"/>
        <w:jc w:val="center"/>
        <w:tblLook w:firstColumn="1" w:firstRow="1" w:lastColumn="0" w:lastRow="0" w:noHBand="0" w:noVBand="1" w:val="04A0"/>
        <w:tblBorders>
          <w:top w:val="single" w:sz="4" w:space="0" w:color="D3D3D3"/>
          <w:left w:val="none"/>
          <w:bottom w:val="single" w:sz="6" w:space="0" w:color="1F4E78"/>
          <w:right w:val="none"/>
          <w:insideH w:val="single" w:sz="4" w:space="0" w:color="D3D3D3"/>
          <w:insideV w:val="none"/>
        </w:tblBorders>
      </w:tblPr>
      <w:tblGrid>
        <w:gridCol w:w="1560"/>
        <w:gridCol w:w="1560"/>
        <w:gridCol w:w="1560"/>
        <w:gridCol w:w="1560"/>
        <w:gridCol w:w="1560"/>
        <w:gridCol w:w="1560"/>
      </w:tblGrid>
      <w:tr>
        <w:tc>
          <w:tcPr>
            <w:tcW w:type="dxa" w:w="1560"/>
            <w:tcMar>
              <w:top w:w="100" w:type="dxa"/>
              <w:bottom w:w="100" w:type="dxa"/>
              <w:left w:w="120" w:type="dxa"/>
              <w:right w:w="120" w:type="dxa"/>
            </w:tcMar>
            <w:shd w:fill="1F4E78"/>
          </w:tcPr>
          <w:p>
            <w:pPr>
              <w:spacing w:before="40" w:after="40"/>
            </w:pPr>
            <w:r>
              <w:rPr>
                <w:rFonts w:ascii="Calibri" w:hAnsi="Calibri"/>
                <w:b/>
                <w:color w:val="FFFFFF"/>
                <w:sz w:val="20"/>
              </w:rPr>
              <w:t>Krisis Historis</w:t>
            </w:r>
          </w:p>
        </w:tc>
        <w:tc>
          <w:tcPr>
            <w:tcW w:type="dxa" w:w="1560"/>
            <w:tcMar>
              <w:top w:w="100" w:type="dxa"/>
              <w:bottom w:w="100" w:type="dxa"/>
              <w:left w:w="120" w:type="dxa"/>
              <w:right w:w="120" w:type="dxa"/>
            </w:tcMar>
            <w:shd w:fill="1F4E78"/>
          </w:tcPr>
          <w:p>
            <w:pPr>
              <w:spacing w:before="40" w:after="40"/>
            </w:pPr>
            <w:r>
              <w:rPr>
                <w:rFonts w:ascii="Calibri" w:hAnsi="Calibri"/>
                <w:b/>
                <w:color w:val="FFFFFF"/>
                <w:sz w:val="20"/>
              </w:rPr>
              <w:t>Tahun</w:t>
            </w:r>
          </w:p>
        </w:tc>
        <w:tc>
          <w:tcPr>
            <w:tcW w:type="dxa" w:w="1560"/>
            <w:tcMar>
              <w:top w:w="100" w:type="dxa"/>
              <w:bottom w:w="100" w:type="dxa"/>
              <w:left w:w="120" w:type="dxa"/>
              <w:right w:w="120" w:type="dxa"/>
            </w:tcMar>
            <w:shd w:fill="1F4E78"/>
          </w:tcPr>
          <w:p>
            <w:pPr>
              <w:spacing w:before="40" w:after="40"/>
            </w:pPr>
            <w:r>
              <w:rPr>
                <w:rFonts w:ascii="Calibri" w:hAnsi="Calibri"/>
                <w:b/>
                <w:color w:val="FFFFFF"/>
                <w:sz w:val="20"/>
              </w:rPr>
              <w:t>Wilayah / Negara</w:t>
            </w:r>
          </w:p>
        </w:tc>
        <w:tc>
          <w:tcPr>
            <w:tcW w:type="dxa" w:w="1560"/>
            <w:tcMar>
              <w:top w:w="100" w:type="dxa"/>
              <w:bottom w:w="100" w:type="dxa"/>
              <w:left w:w="120" w:type="dxa"/>
              <w:right w:w="120" w:type="dxa"/>
            </w:tcMar>
            <w:shd w:fill="1F4E78"/>
          </w:tcPr>
          <w:p>
            <w:pPr>
              <w:spacing w:before="40" w:after="40"/>
            </w:pPr>
            <w:r>
              <w:rPr>
                <w:rFonts w:ascii="Calibri" w:hAnsi="Calibri"/>
                <w:b/>
                <w:color w:val="FFFFFF"/>
                <w:sz w:val="20"/>
              </w:rPr>
              <w:t>Total Obs</w:t>
            </w:r>
          </w:p>
        </w:tc>
        <w:tc>
          <w:tcPr>
            <w:tcW w:type="dxa" w:w="1560"/>
            <w:tcMar>
              <w:top w:w="100" w:type="dxa"/>
              <w:bottom w:w="100" w:type="dxa"/>
              <w:left w:w="120" w:type="dxa"/>
              <w:right w:w="120" w:type="dxa"/>
            </w:tcMar>
            <w:shd w:fill="1F4E78"/>
          </w:tcPr>
          <w:p>
            <w:pPr>
              <w:spacing w:before="40" w:after="40"/>
            </w:pPr>
            <w:r>
              <w:rPr>
                <w:rFonts w:ascii="Calibri" w:hAnsi="Calibri"/>
                <w:b/>
                <w:color w:val="FFFFFF"/>
                <w:sz w:val="20"/>
              </w:rPr>
              <w:t>Terdeteksi (TP)</w:t>
            </w:r>
          </w:p>
        </w:tc>
        <w:tc>
          <w:tcPr>
            <w:tcW w:type="dxa" w:w="1560"/>
            <w:tcMar>
              <w:top w:w="100" w:type="dxa"/>
              <w:bottom w:w="100" w:type="dxa"/>
              <w:left w:w="120" w:type="dxa"/>
              <w:right w:w="120" w:type="dxa"/>
            </w:tcMar>
            <w:shd w:fill="1F4E78"/>
          </w:tcPr>
          <w:p>
            <w:pPr>
              <w:spacing w:before="40" w:after="40"/>
            </w:pPr>
            <w:r>
              <w:rPr>
                <w:rFonts w:ascii="Calibri" w:hAnsi="Calibri"/>
                <w:b/>
                <w:color w:val="FFFFFF"/>
                <w:sz w:val="20"/>
              </w:rPr>
              <w:t>Detection Rate (%)</w:t>
            </w:r>
          </w:p>
        </w:tc>
      </w:tr>
      <w:tr>
        <w:tc>
          <w:tcPr>
            <w:tcW w:type="dxa" w:w="1560"/>
            <w:tcMar>
              <w:top w:w="100" w:type="dxa"/>
              <w:bottom w:w="100" w:type="dxa"/>
              <w:left w:w="120" w:type="dxa"/>
              <w:right w:w="120" w:type="dxa"/>
            </w:tcMar>
            <w:shd w:fill="F2F4F7"/>
          </w:tcPr>
          <w:p>
            <w:pPr>
              <w:spacing w:before="40" w:after="40"/>
            </w:pPr>
            <w:r>
              <w:rPr>
                <w:rFonts w:ascii="Calibri" w:hAnsi="Calibri"/>
                <w:color w:val="262626"/>
                <w:sz w:val="20"/>
              </w:rPr>
              <w:t>🌏 **Krisis Keuangan Asia**</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1997–1998</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IDN, THA, MYS, KOR, PHL</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10</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7</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**70.0%**</w:t>
            </w:r>
          </w:p>
        </w:tc>
      </w:tr>
      <w:tr>
        <w:tc>
          <w:tcPr>
            <w:tcW w:type="dxa" w:w="1560"/>
            <w:tcMar>
              <w:top w:w="100" w:type="dxa"/>
              <w:bottom w:w="100" w:type="dxa"/>
              <w:left w:w="120" w:type="dxa"/>
              <w:right w:w="120" w:type="dxa"/>
            </w:tcMar>
          </w:tcPr>
          <w:p>
            <w:pPr>
              <w:spacing w:before="40" w:after="40"/>
            </w:pPr>
            <w:r>
              <w:rPr>
                <w:rFonts w:ascii="Calibri" w:hAnsi="Calibri"/>
                <w:color w:val="262626"/>
                <w:sz w:val="20"/>
              </w:rPr>
              <w:t>🦠 **Pandemi COVID-19**</w:t>
            </w:r>
          </w:p>
        </w:tc>
        <w:tc>
          <w:tcPr>
            <w:tcW w:type="dxa" w:w="1560"/>
            <w:tcMar>
              <w:top w:w="100" w:type="dxa"/>
              <w:bottom w:w="100" w:type="dxa"/>
              <w:left w:w="120" w:type="dxa"/>
              <w:right w:w="120" w:type="dxa"/>
            </w:tcMar>
          </w:tcPr>
          <w:p>
            <w:pPr>
              <w:spacing w:before="40" w:after="40"/>
            </w:pPr>
            <w:r>
              <w:rPr>
                <w:rFonts w:ascii="Calibri" w:hAnsi="Calibri"/>
                <w:color w:val="262626"/>
                <w:sz w:val="20"/>
              </w:rPr>
              <w:t>2020</w:t>
            </w:r>
          </w:p>
        </w:tc>
        <w:tc>
          <w:tcPr>
            <w:tcW w:type="dxa" w:w="1560"/>
            <w:tcMar>
              <w:top w:w="100" w:type="dxa"/>
              <w:bottom w:w="100" w:type="dxa"/>
              <w:left w:w="120" w:type="dxa"/>
              <w:right w:w="120" w:type="dxa"/>
            </w:tcMar>
          </w:tcPr>
          <w:p>
            <w:pPr>
              <w:spacing w:before="40" w:after="40"/>
            </w:pPr>
            <w:r>
              <w:rPr>
                <w:rFonts w:ascii="Calibri" w:hAnsi="Calibri"/>
                <w:color w:val="262626"/>
                <w:sz w:val="20"/>
              </w:rPr>
              <w:t>Global (49 negara)</w:t>
            </w:r>
          </w:p>
        </w:tc>
        <w:tc>
          <w:tcPr>
            <w:tcW w:type="dxa" w:w="1560"/>
            <w:tcMar>
              <w:top w:w="100" w:type="dxa"/>
              <w:bottom w:w="100" w:type="dxa"/>
              <w:left w:w="120" w:type="dxa"/>
              <w:right w:w="120" w:type="dxa"/>
            </w:tcMar>
          </w:tcPr>
          <w:p>
            <w:pPr>
              <w:spacing w:before="40" w:after="40"/>
            </w:pPr>
            <w:r>
              <w:rPr>
                <w:rFonts w:ascii="Calibri" w:hAnsi="Calibri"/>
                <w:color w:val="262626"/>
                <w:sz w:val="20"/>
              </w:rPr>
              <w:t>49</w:t>
            </w:r>
          </w:p>
        </w:tc>
        <w:tc>
          <w:tcPr>
            <w:tcW w:type="dxa" w:w="1560"/>
            <w:tcMar>
              <w:top w:w="100" w:type="dxa"/>
              <w:bottom w:w="100" w:type="dxa"/>
              <w:left w:w="120" w:type="dxa"/>
              <w:right w:w="120" w:type="dxa"/>
            </w:tcMar>
          </w:tcPr>
          <w:p>
            <w:pPr>
              <w:spacing w:before="40" w:after="40"/>
            </w:pPr>
            <w:r>
              <w:rPr>
                <w:rFonts w:ascii="Calibri" w:hAnsi="Calibri"/>
                <w:color w:val="262626"/>
                <w:sz w:val="20"/>
              </w:rPr>
              <w:t>34</w:t>
            </w:r>
          </w:p>
        </w:tc>
        <w:tc>
          <w:tcPr>
            <w:tcW w:type="dxa" w:w="1560"/>
            <w:tcMar>
              <w:top w:w="100" w:type="dxa"/>
              <w:bottom w:w="100" w:type="dxa"/>
              <w:left w:w="120" w:type="dxa"/>
              <w:right w:w="120" w:type="dxa"/>
            </w:tcMar>
          </w:tcPr>
          <w:p>
            <w:pPr>
              <w:spacing w:before="40" w:after="40"/>
            </w:pPr>
            <w:r>
              <w:rPr>
                <w:rFonts w:ascii="Calibri" w:hAnsi="Calibri"/>
                <w:color w:val="262626"/>
                <w:sz w:val="20"/>
              </w:rPr>
              <w:t>**69.4%**</w:t>
            </w:r>
          </w:p>
        </w:tc>
      </w:tr>
      <w:tr>
        <w:tc>
          <w:tcPr>
            <w:tcW w:type="dxa" w:w="1560"/>
            <w:tcMar>
              <w:top w:w="100" w:type="dxa"/>
              <w:bottom w:w="100" w:type="dxa"/>
              <w:left w:w="120" w:type="dxa"/>
              <w:right w:w="120" w:type="dxa"/>
            </w:tcMar>
            <w:shd w:fill="F2F4F7"/>
          </w:tcPr>
          <w:p>
            <w:pPr>
              <w:spacing w:before="40" w:after="40"/>
            </w:pPr>
            <w:r>
              <w:rPr>
                <w:rFonts w:ascii="Calibri" w:hAnsi="Calibri"/>
                <w:color w:val="262626"/>
                <w:sz w:val="20"/>
              </w:rPr>
              <w:t>🇪🇺 **Krisis Utang Eropa**</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2010–2012</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GRC, PRT, IRL, ESP, ITA</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15</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9</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**60.0%**</w:t>
            </w:r>
          </w:p>
        </w:tc>
      </w:tr>
      <w:tr>
        <w:tc>
          <w:tcPr>
            <w:tcW w:type="dxa" w:w="1560"/>
            <w:tcMar>
              <w:top w:w="100" w:type="dxa"/>
              <w:bottom w:w="100" w:type="dxa"/>
              <w:left w:w="120" w:type="dxa"/>
              <w:right w:w="120" w:type="dxa"/>
            </w:tcMar>
          </w:tcPr>
          <w:p>
            <w:pPr>
              <w:spacing w:before="40" w:after="40"/>
            </w:pPr>
            <w:r>
              <w:rPr>
                <w:rFonts w:ascii="Calibri" w:hAnsi="Calibri"/>
                <w:color w:val="262626"/>
                <w:sz w:val="20"/>
              </w:rPr>
              <w:t>🌍 **Global Financial Crisis**</w:t>
            </w:r>
          </w:p>
        </w:tc>
        <w:tc>
          <w:tcPr>
            <w:tcW w:type="dxa" w:w="1560"/>
            <w:tcMar>
              <w:top w:w="100" w:type="dxa"/>
              <w:bottom w:w="100" w:type="dxa"/>
              <w:left w:w="120" w:type="dxa"/>
              <w:right w:w="120" w:type="dxa"/>
            </w:tcMar>
          </w:tcPr>
          <w:p>
            <w:pPr>
              <w:spacing w:before="40" w:after="40"/>
            </w:pPr>
            <w:r>
              <w:rPr>
                <w:rFonts w:ascii="Calibri" w:hAnsi="Calibri"/>
                <w:color w:val="262626"/>
                <w:sz w:val="20"/>
              </w:rPr>
              <w:t>2008–2009</w:t>
            </w:r>
          </w:p>
        </w:tc>
        <w:tc>
          <w:tcPr>
            <w:tcW w:type="dxa" w:w="1560"/>
            <w:tcMar>
              <w:top w:w="100" w:type="dxa"/>
              <w:bottom w:w="100" w:type="dxa"/>
              <w:left w:w="120" w:type="dxa"/>
              <w:right w:w="120" w:type="dxa"/>
            </w:tcMar>
          </w:tcPr>
          <w:p>
            <w:pPr>
              <w:spacing w:before="40" w:after="40"/>
            </w:pPr>
            <w:r>
              <w:rPr>
                <w:rFonts w:ascii="Calibri" w:hAnsi="Calibri"/>
                <w:color w:val="262626"/>
                <w:sz w:val="20"/>
              </w:rPr>
              <w:t>Global (49 negara)</w:t>
            </w:r>
          </w:p>
        </w:tc>
        <w:tc>
          <w:tcPr>
            <w:tcW w:type="dxa" w:w="1560"/>
            <w:tcMar>
              <w:top w:w="100" w:type="dxa"/>
              <w:bottom w:w="100" w:type="dxa"/>
              <w:left w:w="120" w:type="dxa"/>
              <w:right w:w="120" w:type="dxa"/>
            </w:tcMar>
          </w:tcPr>
          <w:p>
            <w:pPr>
              <w:spacing w:before="40" w:after="40"/>
            </w:pPr>
            <w:r>
              <w:rPr>
                <w:rFonts w:ascii="Calibri" w:hAnsi="Calibri"/>
                <w:color w:val="262626"/>
                <w:sz w:val="20"/>
              </w:rPr>
              <w:t>98</w:t>
            </w:r>
          </w:p>
        </w:tc>
        <w:tc>
          <w:tcPr>
            <w:tcW w:type="dxa" w:w="1560"/>
            <w:tcMar>
              <w:top w:w="100" w:type="dxa"/>
              <w:bottom w:w="100" w:type="dxa"/>
              <w:left w:w="120" w:type="dxa"/>
              <w:right w:w="120" w:type="dxa"/>
            </w:tcMar>
          </w:tcPr>
          <w:p>
            <w:pPr>
              <w:spacing w:before="40" w:after="40"/>
            </w:pPr>
            <w:r>
              <w:rPr>
                <w:rFonts w:ascii="Calibri" w:hAnsi="Calibri"/>
                <w:color w:val="262626"/>
                <w:sz w:val="20"/>
              </w:rPr>
              <w:t>38</w:t>
            </w:r>
          </w:p>
        </w:tc>
        <w:tc>
          <w:tcPr>
            <w:tcW w:type="dxa" w:w="1560"/>
            <w:tcMar>
              <w:top w:w="100" w:type="dxa"/>
              <w:bottom w:w="100" w:type="dxa"/>
              <w:left w:w="120" w:type="dxa"/>
              <w:right w:w="120" w:type="dxa"/>
            </w:tcMar>
          </w:tcPr>
          <w:p>
            <w:pPr>
              <w:spacing w:before="40" w:after="40"/>
            </w:pPr>
            <w:r>
              <w:rPr>
                <w:rFonts w:ascii="Calibri" w:hAnsi="Calibri"/>
                <w:color w:val="262626"/>
                <w:sz w:val="20"/>
              </w:rPr>
              <w:t>**38.8%**</w:t>
            </w:r>
          </w:p>
        </w:tc>
      </w:tr>
      <w:tr>
        <w:tc>
          <w:tcPr>
            <w:tcW w:type="dxa" w:w="1560"/>
            <w:tcMar>
              <w:top w:w="100" w:type="dxa"/>
              <w:bottom w:w="100" w:type="dxa"/>
              <w:left w:w="120" w:type="dxa"/>
              <w:right w:w="120" w:type="dxa"/>
            </w:tcMar>
            <w:shd w:fill="F2F4F7"/>
          </w:tcPr>
          <w:p>
            <w:pPr>
              <w:spacing w:before="40" w:after="40"/>
            </w:pPr>
            <w:r>
              <w:rPr>
                <w:rFonts w:ascii="Calibri" w:hAnsi="Calibri"/>
                <w:color w:val="262626"/>
                <w:sz w:val="20"/>
              </w:rPr>
              <w:t>🇷🇺 **Krisis Rusia**</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1998</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Rusia (RUS)</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1</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1</w:t>
            </w:r>
          </w:p>
        </w:tc>
        <w:tc>
          <w:tcPr>
            <w:tcW w:type="dxa" w:w="1560"/>
            <w:tcMar>
              <w:top w:w="100" w:type="dxa"/>
              <w:bottom w:w="100" w:type="dxa"/>
              <w:left w:w="120" w:type="dxa"/>
              <w:right w:w="120" w:type="dxa"/>
            </w:tcMar>
            <w:shd w:fill="F2F4F7"/>
          </w:tcPr>
          <w:p>
            <w:pPr>
              <w:spacing w:before="40" w:after="40"/>
            </w:pPr>
            <w:r>
              <w:rPr>
                <w:rFonts w:ascii="Calibri" w:hAnsi="Calibri"/>
                <w:color w:val="262626"/>
                <w:sz w:val="20"/>
              </w:rPr>
              <w:t>**100.0%**</w:t>
            </w:r>
          </w:p>
        </w:tc>
      </w:tr>
      <w:tr>
        <w:tc>
          <w:tcPr>
            <w:tcW w:type="dxa" w:w="1560"/>
            <w:tcMar>
              <w:top w:w="100" w:type="dxa"/>
              <w:bottom w:w="100" w:type="dxa"/>
              <w:left w:w="120" w:type="dxa"/>
              <w:right w:w="120" w:type="dxa"/>
            </w:tcMar>
          </w:tcPr>
          <w:p>
            <w:pPr>
              <w:spacing w:before="40" w:after="40"/>
            </w:pPr>
            <w:r>
              <w:rPr>
                <w:rFonts w:ascii="Calibri" w:hAnsi="Calibri"/>
                <w:color w:val="262626"/>
                <w:sz w:val="20"/>
              </w:rPr>
              <w:t>🇦🇷 **Krisis Argentina**</w:t>
            </w:r>
          </w:p>
        </w:tc>
        <w:tc>
          <w:tcPr>
            <w:tcW w:type="dxa" w:w="1560"/>
            <w:tcMar>
              <w:top w:w="100" w:type="dxa"/>
              <w:bottom w:w="100" w:type="dxa"/>
              <w:left w:w="120" w:type="dxa"/>
              <w:right w:w="120" w:type="dxa"/>
            </w:tcMar>
          </w:tcPr>
          <w:p>
            <w:pPr>
              <w:spacing w:before="40" w:after="40"/>
            </w:pPr>
            <w:r>
              <w:rPr>
                <w:rFonts w:ascii="Calibri" w:hAnsi="Calibri"/>
                <w:color w:val="262626"/>
                <w:sz w:val="20"/>
              </w:rPr>
              <w:t>2001–2002</w:t>
            </w:r>
          </w:p>
        </w:tc>
        <w:tc>
          <w:tcPr>
            <w:tcW w:type="dxa" w:w="1560"/>
            <w:tcMar>
              <w:top w:w="100" w:type="dxa"/>
              <w:bottom w:w="100" w:type="dxa"/>
              <w:left w:w="120" w:type="dxa"/>
              <w:right w:w="120" w:type="dxa"/>
            </w:tcMar>
          </w:tcPr>
          <w:p>
            <w:pPr>
              <w:spacing w:before="40" w:after="40"/>
            </w:pPr>
            <w:r>
              <w:rPr>
                <w:rFonts w:ascii="Calibri" w:hAnsi="Calibri"/>
                <w:color w:val="262626"/>
                <w:sz w:val="20"/>
              </w:rPr>
              <w:t>Argentina (ARG)</w:t>
            </w:r>
          </w:p>
        </w:tc>
        <w:tc>
          <w:tcPr>
            <w:tcW w:type="dxa" w:w="1560"/>
            <w:tcMar>
              <w:top w:w="100" w:type="dxa"/>
              <w:bottom w:w="100" w:type="dxa"/>
              <w:left w:w="120" w:type="dxa"/>
              <w:right w:w="120" w:type="dxa"/>
            </w:tcMar>
          </w:tcPr>
          <w:p>
            <w:pPr>
              <w:spacing w:before="40" w:after="40"/>
            </w:pPr>
            <w:r>
              <w:rPr>
                <w:rFonts w:ascii="Calibri" w:hAnsi="Calibri"/>
                <w:color w:val="262626"/>
                <w:sz w:val="20"/>
              </w:rPr>
              <w:t>2</w:t>
            </w:r>
          </w:p>
        </w:tc>
        <w:tc>
          <w:tcPr>
            <w:tcW w:type="dxa" w:w="1560"/>
            <w:tcMar>
              <w:top w:w="100" w:type="dxa"/>
              <w:bottom w:w="100" w:type="dxa"/>
              <w:left w:w="120" w:type="dxa"/>
              <w:right w:w="120" w:type="dxa"/>
            </w:tcMar>
          </w:tcPr>
          <w:p>
            <w:pPr>
              <w:spacing w:before="40" w:after="40"/>
            </w:pPr>
            <w:r>
              <w:rPr>
                <w:rFonts w:ascii="Calibri" w:hAnsi="Calibri"/>
                <w:color w:val="262626"/>
                <w:sz w:val="20"/>
              </w:rPr>
              <w:t>2</w:t>
            </w:r>
          </w:p>
        </w:tc>
        <w:tc>
          <w:tcPr>
            <w:tcW w:type="dxa" w:w="1560"/>
            <w:tcMar>
              <w:top w:w="100" w:type="dxa"/>
              <w:bottom w:w="100" w:type="dxa"/>
              <w:left w:w="120" w:type="dxa"/>
              <w:right w:w="120" w:type="dxa"/>
            </w:tcMar>
          </w:tcPr>
          <w:p>
            <w:pPr>
              <w:spacing w:before="40" w:after="40"/>
            </w:pPr>
            <w:r>
              <w:rPr>
                <w:rFonts w:ascii="Calibri" w:hAnsi="Calibri"/>
                <w:color w:val="262626"/>
                <w:sz w:val="20"/>
              </w:rPr>
              <w:t>**100.0%**</w:t>
            </w:r>
          </w:p>
        </w:tc>
      </w:tr>
    </w:tbl>
    <w:p/>
    <w:p>
      <w:pPr>
        <w:spacing w:before="80" w:after="160"/>
        <w:ind w:left="288" w:right="288"/>
      </w:pPr>
      <w:r>
        <w:rPr>
          <w:rFonts w:ascii="Consolas" w:hAnsi="Consolas"/>
          <w:color w:val="333333"/>
          <w:sz w:val="19"/>
        </w:rPr>
        <w:t>Krisis Asia 1997-98          ███████████████████████████████████████      70.0% (7/10)</w:t>
        <w:br/>
        <w:t>Pandemi COVID-19 2020        █████████████████████████████████████        69.4% (34/49)</w:t>
        <w:br/>
        <w:t>Krisis Utang Eropa 2010-12   ██████████████████████████████              60.0% (9/15)</w:t>
        <w:br/>
        <w:t>Global Financial Crisis      █████████████████                            38.8% (38/98)</w:t>
        <w:br/>
        <w:t>Krisis Rusia 1998            ████████████████████████████████████████████ 100.0% (1/1)</w:t>
        <w:br/>
        <w:t>Krisis Argentina 2001-02     ████████████████████████████████████████████ 100.0% (2/2)</w:t>
      </w:r>
    </w:p>
    <w:p>
      <w:pPr>
        <w:keepNext/>
        <w:spacing w:before="200" w:after="80"/>
      </w:pPr>
      <w:r>
        <w:rPr>
          <w:rFonts w:ascii="Calibri" w:hAnsi="Calibri"/>
          <w:b/>
          <w:color w:val="333333"/>
          <w:sz w:val="24"/>
        </w:rPr>
        <w:t>Analisis Ekonomis &amp; Interpretasi Hasil:</w:t>
      </w:r>
    </w:p>
    <w:p>
      <w:pPr>
        <w:pStyle w:val="ListNumber"/>
        <w:spacing w:before="20" w:after="40"/>
      </w:pPr>
      <w:r/>
      <w:r>
        <w:rPr>
          <w:b/>
        </w:rPr>
        <w:t>Krisis Keuangan Asia 1997–1998 (70.0%)</w:t>
      </w:r>
      <w:r>
        <w:t>:</w:t>
      </w:r>
    </w:p>
    <w:p>
      <w:pPr>
        <w:pStyle w:val="ListBullet"/>
        <w:spacing w:before="20" w:after="40"/>
      </w:pPr>
      <w:r>
        <w:t xml:space="preserve">Daya deteksi melonjak dari 50.0% (pada model lama) menjadi </w:t>
      </w:r>
      <w:r>
        <w:rPr>
          <w:b/>
        </w:rPr>
        <w:t>70.0%</w:t>
      </w:r>
      <w:r>
        <w:t xml:space="preserve"> setelah penerapan fitur `% Exchange_Depreciation` dan `Broad_Money_Growth`.</w:t>
      </w:r>
    </w:p>
    <w:p>
      <w:pPr>
        <w:pStyle w:val="ListBullet"/>
        <w:spacing w:before="20" w:after="40"/>
      </w:pPr>
      <w:r/>
      <w:r>
        <w:rPr>
          <w:b/>
        </w:rPr>
        <w:t>Mekanisme Deteksi</w:t>
      </w:r>
      <w:r>
        <w:t>: Krisis Asia ditandai oleh devaluasi masif Baht Thailand, Rupiah Indonesia, dan Won Korea Selatan serta kontraksi kredit. Transformasi persentase depresiasi memungkinkan OC-SVM menangkap lonjakan ekstrim ini secara sangat presisi.</w:t>
      </w:r>
    </w:p>
    <w:p>
      <w:pPr>
        <w:pStyle w:val="ListNumber"/>
        <w:spacing w:before="20" w:after="40"/>
      </w:pPr>
      <w:r/>
      <w:r>
        <w:rPr>
          <w:b/>
        </w:rPr>
        <w:t>Pandemi COVID-19 2020 (69.4%)</w:t>
      </w:r>
      <w:r>
        <w:t>:</w:t>
      </w:r>
    </w:p>
    <w:p>
      <w:pPr>
        <w:pStyle w:val="ListBullet"/>
        <w:spacing w:before="20" w:after="40"/>
      </w:pPr>
      <w:r>
        <w:t xml:space="preserve">Model berhasil mendeteksi </w:t>
      </w:r>
      <w:r>
        <w:rPr>
          <w:b/>
        </w:rPr>
        <w:t>34 dari 49 negara</w:t>
      </w:r>
      <w:r>
        <w:t xml:space="preserve"> (69.4%).</w:t>
      </w:r>
    </w:p>
    <w:p>
      <w:pPr>
        <w:pStyle w:val="ListBullet"/>
        <w:spacing w:before="20" w:after="40"/>
      </w:pPr>
      <w:r/>
      <w:r>
        <w:rPr>
          <w:b/>
        </w:rPr>
        <w:t>Mekanisme Deteksi</w:t>
      </w:r>
      <w:r>
        <w:t>: COVID-19 merupakan guncangan eksogen serentak. Kontraksi PDB secara tiba-tiba yang disertai penurunan impor/ekspor melempar posisi makroekonomi mayoritas negara ke luar kontur batas normal RBF.</w:t>
      </w:r>
    </w:p>
    <w:p>
      <w:pPr>
        <w:pStyle w:val="ListNumber"/>
        <w:spacing w:before="20" w:after="40"/>
      </w:pPr>
      <w:r/>
      <w:r>
        <w:rPr>
          <w:b/>
        </w:rPr>
        <w:t>Krisis Utang Eropa 2010–2012 (60.0%)</w:t>
      </w:r>
      <w:r>
        <w:t>:</w:t>
      </w:r>
    </w:p>
    <w:p>
      <w:pPr>
        <w:pStyle w:val="ListBullet"/>
        <w:spacing w:before="20" w:after="40"/>
      </w:pPr>
      <w:r>
        <w:t xml:space="preserve">Model mendeteksi </w:t>
      </w:r>
      <w:r>
        <w:rPr>
          <w:b/>
        </w:rPr>
        <w:t>9 dari 15 observasi</w:t>
      </w:r>
      <w:r>
        <w:t xml:space="preserve"> (60.0%) di Yunani, Portugal, dan Irlandia.</w:t>
      </w:r>
    </w:p>
    <w:p>
      <w:pPr>
        <w:pStyle w:val="ListBullet"/>
        <w:spacing w:before="20" w:after="40"/>
      </w:pPr>
      <w:r/>
      <w:r>
        <w:rPr>
          <w:b/>
        </w:rPr>
        <w:t>Mekanisme Deteksi</w:t>
      </w:r>
      <w:r>
        <w:t>: Berhasil mengisolasi pembengkakan kredit domestik, defisit transaksi berjalan, dan tekanan suku bunga yang menyimpang dari peer group Eropa.</w:t>
      </w:r>
    </w:p>
    <w:p>
      <w:pPr>
        <w:pStyle w:val="ListNumber"/>
        <w:spacing w:before="20" w:after="40"/>
      </w:pPr>
      <w:r/>
      <w:r>
        <w:rPr>
          <w:b/>
        </w:rPr>
        <w:t>Global Financial Crisis 2008–2009 (38.8%)</w:t>
      </w:r>
      <w:r>
        <w:t>:</w:t>
      </w:r>
    </w:p>
    <w:p>
      <w:pPr>
        <w:pStyle w:val="ListBullet"/>
        <w:spacing w:before="20" w:after="40"/>
      </w:pPr>
      <w:r>
        <w:t xml:space="preserve">Mendeteksi </w:t>
      </w:r>
      <w:r>
        <w:rPr>
          <w:b/>
        </w:rPr>
        <w:t>38 dari 98 observasi</w:t>
      </w:r>
      <w:r>
        <w:t xml:space="preserve"> (38.8%).</w:t>
      </w:r>
    </w:p>
    <w:p>
      <w:pPr>
        <w:pStyle w:val="ListBullet"/>
        <w:spacing w:before="20" w:after="40"/>
      </w:pPr>
      <w:r/>
      <w:r>
        <w:rPr>
          <w:b/>
        </w:rPr>
        <w:t>Mekanisme Deteksi</w:t>
      </w:r>
      <w:r>
        <w:t>: Karena GFC berdampak merata ke hampir seluruh negara global secara simultan, pergeseran rata-rata global membuat sebagian negara tetap berada di dalam kontur batas baru, sehingga model batas tunggal (*single boundary*) cenderung mengalami penurunan recall pada krisis terdistribusi merata.</w:t>
      </w:r>
    </w:p>
    <w:p>
      <w:pPr>
        <w:pStyle w:val="ListNumber"/>
        <w:spacing w:before="20" w:after="40"/>
      </w:pPr>
      <w:r/>
      <w:r>
        <w:rPr>
          <w:b/>
        </w:rPr>
        <w:t>Krisis Rusia (100%) &amp; Argentina (100%)</w:t>
      </w:r>
      <w:r>
        <w:t>:</w:t>
      </w:r>
    </w:p>
    <w:p>
      <w:pPr>
        <w:pStyle w:val="ListBullet"/>
        <w:spacing w:before="20" w:after="40"/>
      </w:pPr>
      <w:r>
        <w:t>Deteksi sempurna pada *default* utang berdaulat dan devaluasi mata uang ekstrim yang melempar titik observasi sangat jauh di luar *hyperplane*.</w:t>
      </w:r>
    </w:p>
    <w:p>
      <w:pPr>
        <w:spacing w:before="120" w:after="120"/>
        <w:pBdr>
          <w:bottom w:val="single" w:sz="6" w:space="1" w:color="CCCCCC"/>
        </w:pBdr>
      </w:pPr>
    </w:p>
    <w:p>
      <w:pPr>
        <w:keepNext/>
        <w:spacing w:before="280" w:after="120"/>
      </w:pPr>
      <w:r>
        <w:rPr>
          <w:rFonts w:ascii="Calibri" w:hAnsi="Calibri"/>
          <w:b/>
          <w:color w:val="2E5B88"/>
          <w:sz w:val="28"/>
        </w:rPr>
        <w:t>8. Profil Geografis — Top 10 Negara Anomali Terbanyak</w:t>
      </w:r>
    </w:p>
    <w:tbl>
      <w:tblPr>
        <w:tblW w:type="auto" w:w="0"/>
        <w:jc w:val="center"/>
        <w:tblLook w:firstColumn="1" w:firstRow="1" w:lastColumn="0" w:lastRow="0" w:noHBand="0" w:noVBand="1" w:val="04A0"/>
        <w:tblBorders>
          <w:top w:val="single" w:sz="4" w:space="0" w:color="D3D3D3"/>
          <w:left w:val="none"/>
          <w:bottom w:val="single" w:sz="6" w:space="0" w:color="1F4E78"/>
          <w:right w:val="none"/>
          <w:insideH w:val="single" w:sz="4" w:space="0" w:color="D3D3D3"/>
          <w:insideV w:val="none"/>
        </w:tblBorders>
      </w:tblPr>
      <w:tblGrid>
        <w:gridCol w:w="1872"/>
        <w:gridCol w:w="1872"/>
        <w:gridCol w:w="1872"/>
        <w:gridCol w:w="1872"/>
        <w:gridCol w:w="1872"/>
      </w:tblGrid>
      <w:tr>
        <w:tc>
          <w:tcPr>
            <w:tcW w:type="dxa" w:w="1872"/>
            <w:tcMar>
              <w:top w:w="100" w:type="dxa"/>
              <w:bottom w:w="100" w:type="dxa"/>
              <w:left w:w="120" w:type="dxa"/>
              <w:right w:w="120" w:type="dxa"/>
            </w:tcMar>
            <w:shd w:fill="1F4E78"/>
          </w:tcPr>
          <w:p>
            <w:pPr>
              <w:spacing w:before="40" w:after="40"/>
            </w:pPr>
            <w:r>
              <w:rPr>
                <w:rFonts w:ascii="Calibri" w:hAnsi="Calibri"/>
                <w:b/>
                <w:color w:val="FFFFFF"/>
                <w:sz w:val="20"/>
              </w:rPr>
              <w:t>Rank</w:t>
            </w:r>
          </w:p>
        </w:tc>
        <w:tc>
          <w:tcPr>
            <w:tcW w:type="dxa" w:w="1872"/>
            <w:tcMar>
              <w:top w:w="100" w:type="dxa"/>
              <w:bottom w:w="100" w:type="dxa"/>
              <w:left w:w="120" w:type="dxa"/>
              <w:right w:w="120" w:type="dxa"/>
            </w:tcMar>
            <w:shd w:fill="1F4E78"/>
          </w:tcPr>
          <w:p>
            <w:pPr>
              <w:spacing w:before="40" w:after="40"/>
            </w:pPr>
            <w:r>
              <w:rPr>
                <w:rFonts w:ascii="Calibri" w:hAnsi="Calibri"/>
                <w:b/>
                <w:color w:val="FFFFFF"/>
                <w:sz w:val="20"/>
              </w:rPr>
              <w:t>Negara</w:t>
            </w:r>
          </w:p>
        </w:tc>
        <w:tc>
          <w:tcPr>
            <w:tcW w:type="dxa" w:w="1872"/>
            <w:tcMar>
              <w:top w:w="100" w:type="dxa"/>
              <w:bottom w:w="100" w:type="dxa"/>
              <w:left w:w="120" w:type="dxa"/>
              <w:right w:w="120" w:type="dxa"/>
            </w:tcMar>
            <w:shd w:fill="1F4E78"/>
          </w:tcPr>
          <w:p>
            <w:pPr>
              <w:spacing w:before="40" w:after="40"/>
            </w:pPr>
            <w:r>
              <w:rPr>
                <w:rFonts w:ascii="Calibri" w:hAnsi="Calibri"/>
                <w:b/>
                <w:color w:val="FFFFFF"/>
                <w:sz w:val="20"/>
              </w:rPr>
              <w:t>Kode ISO</w:t>
            </w:r>
          </w:p>
        </w:tc>
        <w:tc>
          <w:tcPr>
            <w:tcW w:type="dxa" w:w="1872"/>
            <w:tcMar>
              <w:top w:w="100" w:type="dxa"/>
              <w:bottom w:w="100" w:type="dxa"/>
              <w:left w:w="120" w:type="dxa"/>
              <w:right w:w="120" w:type="dxa"/>
            </w:tcMar>
            <w:shd w:fill="1F4E78"/>
          </w:tcPr>
          <w:p>
            <w:pPr>
              <w:spacing w:before="40" w:after="40"/>
            </w:pPr>
            <w:r>
              <w:rPr>
                <w:rFonts w:ascii="Calibri" w:hAnsi="Calibri"/>
                <w:b/>
                <w:color w:val="FFFFFF"/>
                <w:sz w:val="20"/>
              </w:rPr>
              <w:t>Jumlah Tahun Anomali</w:t>
            </w:r>
          </w:p>
        </w:tc>
        <w:tc>
          <w:tcPr>
            <w:tcW w:type="dxa" w:w="1872"/>
            <w:tcMar>
              <w:top w:w="100" w:type="dxa"/>
              <w:bottom w:w="100" w:type="dxa"/>
              <w:left w:w="120" w:type="dxa"/>
              <w:right w:w="120" w:type="dxa"/>
            </w:tcMar>
            <w:shd w:fill="1F4E78"/>
          </w:tcPr>
          <w:p>
            <w:pPr>
              <w:spacing w:before="40" w:after="40"/>
            </w:pPr>
            <w:r>
              <w:rPr>
                <w:rFonts w:ascii="Calibri" w:hAnsi="Calibri"/>
                <w:b/>
                <w:color w:val="FFFFFF"/>
                <w:sz w:val="20"/>
              </w:rPr>
              <w:t>Interpretasi Struktural &amp; Ekonomis</w:t>
            </w:r>
          </w:p>
        </w:tc>
      </w:tr>
      <w:tr>
        <w:tc>
          <w:tcPr>
            <w:tcW w:type="dxa" w:w="1872"/>
            <w:tcMar>
              <w:top w:w="100" w:type="dxa"/>
              <w:bottom w:w="100" w:type="dxa"/>
              <w:left w:w="120" w:type="dxa"/>
              <w:right w:w="120" w:type="dxa"/>
            </w:tcMar>
            <w:shd w:fill="F2F4F7"/>
          </w:tcPr>
          <w:p>
            <w:pPr>
              <w:spacing w:before="40" w:after="40"/>
            </w:pPr>
            <w:r>
              <w:rPr>
                <w:rFonts w:ascii="Calibri" w:hAnsi="Calibri"/>
                <w:color w:val="262626"/>
                <w:sz w:val="20"/>
              </w:rPr>
              <w:t>1</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Irlandia</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IRL</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31</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Pusat finansial Eropa; transaksi ekspor/impor multinasional &amp; FDI sangat bergejolak.</w:t>
            </w:r>
          </w:p>
        </w:tc>
      </w:tr>
      <w:tr>
        <w:tc>
          <w:tcPr>
            <w:tcW w:type="dxa" w:w="1872"/>
            <w:tcMar>
              <w:top w:w="100" w:type="dxa"/>
              <w:bottom w:w="100" w:type="dxa"/>
              <w:left w:w="120" w:type="dxa"/>
              <w:right w:w="120" w:type="dxa"/>
            </w:tcMar>
          </w:tcPr>
          <w:p>
            <w:pPr>
              <w:spacing w:before="40" w:after="40"/>
            </w:pPr>
            <w:r>
              <w:rPr>
                <w:rFonts w:ascii="Calibri" w:hAnsi="Calibri"/>
                <w:color w:val="262626"/>
                <w:sz w:val="20"/>
              </w:rPr>
              <w:t>2</w:t>
            </w:r>
          </w:p>
        </w:tc>
        <w:tc>
          <w:tcPr>
            <w:tcW w:type="dxa" w:w="1872"/>
            <w:tcMar>
              <w:top w:w="100" w:type="dxa"/>
              <w:bottom w:w="100" w:type="dxa"/>
              <w:left w:w="120" w:type="dxa"/>
              <w:right w:w="120" w:type="dxa"/>
            </w:tcMar>
          </w:tcPr>
          <w:p>
            <w:pPr>
              <w:spacing w:before="40" w:after="40"/>
            </w:pPr>
            <w:r>
              <w:rPr>
                <w:rFonts w:ascii="Calibri" w:hAnsi="Calibri"/>
                <w:color w:val="262626"/>
                <w:sz w:val="20"/>
              </w:rPr>
              <w:t>Arab Saudi</w:t>
            </w:r>
          </w:p>
        </w:tc>
        <w:tc>
          <w:tcPr>
            <w:tcW w:type="dxa" w:w="1872"/>
            <w:tcMar>
              <w:top w:w="100" w:type="dxa"/>
              <w:bottom w:w="100" w:type="dxa"/>
              <w:left w:w="120" w:type="dxa"/>
              <w:right w:w="120" w:type="dxa"/>
            </w:tcMar>
          </w:tcPr>
          <w:p>
            <w:pPr>
              <w:spacing w:before="40" w:after="40"/>
            </w:pPr>
            <w:r>
              <w:rPr>
                <w:rFonts w:ascii="Calibri" w:hAnsi="Calibri"/>
                <w:color w:val="262626"/>
                <w:sz w:val="20"/>
              </w:rPr>
              <w:t>SAU</w:t>
            </w:r>
          </w:p>
        </w:tc>
        <w:tc>
          <w:tcPr>
            <w:tcW w:type="dxa" w:w="1872"/>
            <w:tcMar>
              <w:top w:w="100" w:type="dxa"/>
              <w:bottom w:w="100" w:type="dxa"/>
              <w:left w:w="120" w:type="dxa"/>
              <w:right w:w="120" w:type="dxa"/>
            </w:tcMar>
          </w:tcPr>
          <w:p>
            <w:pPr>
              <w:spacing w:before="40" w:after="40"/>
            </w:pPr>
            <w:r>
              <w:rPr>
                <w:rFonts w:ascii="Calibri" w:hAnsi="Calibri"/>
                <w:color w:val="262626"/>
                <w:sz w:val="20"/>
              </w:rPr>
              <w:t>23</w:t>
            </w:r>
          </w:p>
        </w:tc>
        <w:tc>
          <w:tcPr>
            <w:tcW w:type="dxa" w:w="1872"/>
            <w:tcMar>
              <w:top w:w="100" w:type="dxa"/>
              <w:bottom w:w="100" w:type="dxa"/>
              <w:left w:w="120" w:type="dxa"/>
              <w:right w:w="120" w:type="dxa"/>
            </w:tcMar>
          </w:tcPr>
          <w:p>
            <w:pPr>
              <w:spacing w:before="40" w:after="40"/>
            </w:pPr>
            <w:r>
              <w:rPr>
                <w:rFonts w:ascii="Calibri" w:hAnsi="Calibri"/>
                <w:color w:val="262626"/>
                <w:sz w:val="20"/>
              </w:rPr>
              <w:t>Ekonomi berbasis minyak; sangat rentan guncangan harga komoditas global.</w:t>
            </w:r>
          </w:p>
        </w:tc>
      </w:tr>
      <w:tr>
        <w:tc>
          <w:tcPr>
            <w:tcW w:type="dxa" w:w="1872"/>
            <w:tcMar>
              <w:top w:w="100" w:type="dxa"/>
              <w:bottom w:w="100" w:type="dxa"/>
              <w:left w:w="120" w:type="dxa"/>
              <w:right w:w="120" w:type="dxa"/>
            </w:tcMar>
            <w:shd w:fill="F2F4F7"/>
          </w:tcPr>
          <w:p>
            <w:pPr>
              <w:spacing w:before="40" w:after="40"/>
            </w:pPr>
            <w:r>
              <w:rPr>
                <w:rFonts w:ascii="Calibri" w:hAnsi="Calibri"/>
                <w:color w:val="262626"/>
                <w:sz w:val="20"/>
              </w:rPr>
              <w:t>3</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Hongaria</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HUN</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21</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Volatilitas transaksi berjalan &amp; arus modal pasar berkembang Eropa Timur.</w:t>
            </w:r>
          </w:p>
        </w:tc>
      </w:tr>
      <w:tr>
        <w:tc>
          <w:tcPr>
            <w:tcW w:type="dxa" w:w="1872"/>
            <w:tcMar>
              <w:top w:w="100" w:type="dxa"/>
              <w:bottom w:w="100" w:type="dxa"/>
              <w:left w:w="120" w:type="dxa"/>
              <w:right w:w="120" w:type="dxa"/>
            </w:tcMar>
          </w:tcPr>
          <w:p>
            <w:pPr>
              <w:spacing w:before="40" w:after="40"/>
            </w:pPr>
            <w:r>
              <w:rPr>
                <w:rFonts w:ascii="Calibri" w:hAnsi="Calibri"/>
                <w:color w:val="262626"/>
                <w:sz w:val="20"/>
              </w:rPr>
              <w:t>4</w:t>
            </w:r>
          </w:p>
        </w:tc>
        <w:tc>
          <w:tcPr>
            <w:tcW w:type="dxa" w:w="1872"/>
            <w:tcMar>
              <w:top w:w="100" w:type="dxa"/>
              <w:bottom w:w="100" w:type="dxa"/>
              <w:left w:w="120" w:type="dxa"/>
              <w:right w:w="120" w:type="dxa"/>
            </w:tcMar>
          </w:tcPr>
          <w:p>
            <w:pPr>
              <w:spacing w:before="40" w:after="40"/>
            </w:pPr>
            <w:r>
              <w:rPr>
                <w:rFonts w:ascii="Calibri" w:hAnsi="Calibri"/>
                <w:color w:val="262626"/>
                <w:sz w:val="20"/>
              </w:rPr>
              <w:t>Singapura</w:t>
            </w:r>
          </w:p>
        </w:tc>
        <w:tc>
          <w:tcPr>
            <w:tcW w:type="dxa" w:w="1872"/>
            <w:tcMar>
              <w:top w:w="100" w:type="dxa"/>
              <w:bottom w:w="100" w:type="dxa"/>
              <w:left w:w="120" w:type="dxa"/>
              <w:right w:w="120" w:type="dxa"/>
            </w:tcMar>
          </w:tcPr>
          <w:p>
            <w:pPr>
              <w:spacing w:before="40" w:after="40"/>
            </w:pPr>
            <w:r>
              <w:rPr>
                <w:rFonts w:ascii="Calibri" w:hAnsi="Calibri"/>
                <w:color w:val="262626"/>
                <w:sz w:val="20"/>
              </w:rPr>
              <w:t>SGP</w:t>
            </w:r>
          </w:p>
        </w:tc>
        <w:tc>
          <w:tcPr>
            <w:tcW w:type="dxa" w:w="1872"/>
            <w:tcMar>
              <w:top w:w="100" w:type="dxa"/>
              <w:bottom w:w="100" w:type="dxa"/>
              <w:left w:w="120" w:type="dxa"/>
              <w:right w:w="120" w:type="dxa"/>
            </w:tcMar>
          </w:tcPr>
          <w:p>
            <w:pPr>
              <w:spacing w:before="40" w:after="40"/>
            </w:pPr>
            <w:r>
              <w:rPr>
                <w:rFonts w:ascii="Calibri" w:hAnsi="Calibri"/>
                <w:color w:val="262626"/>
                <w:sz w:val="20"/>
              </w:rPr>
              <w:t>21</w:t>
            </w:r>
          </w:p>
        </w:tc>
        <w:tc>
          <w:tcPr>
            <w:tcW w:type="dxa" w:w="1872"/>
            <w:tcMar>
              <w:top w:w="100" w:type="dxa"/>
              <w:bottom w:w="100" w:type="dxa"/>
              <w:left w:w="120" w:type="dxa"/>
              <w:right w:w="120" w:type="dxa"/>
            </w:tcMar>
          </w:tcPr>
          <w:p>
            <w:pPr>
              <w:spacing w:before="40" w:after="40"/>
            </w:pPr>
            <w:r>
              <w:rPr>
                <w:rFonts w:ascii="Calibri" w:hAnsi="Calibri"/>
                <w:color w:val="262626"/>
                <w:sz w:val="20"/>
              </w:rPr>
              <w:t>Ekonomi ultra-terbuka (Trade/GDP &gt; 300%); terpapar langsung pada siklus perdagangan global.</w:t>
            </w:r>
          </w:p>
        </w:tc>
      </w:tr>
      <w:tr>
        <w:tc>
          <w:tcPr>
            <w:tcW w:type="dxa" w:w="1872"/>
            <w:tcMar>
              <w:top w:w="100" w:type="dxa"/>
              <w:bottom w:w="100" w:type="dxa"/>
              <w:left w:w="120" w:type="dxa"/>
              <w:right w:w="120" w:type="dxa"/>
            </w:tcMar>
            <w:shd w:fill="F2F4F7"/>
          </w:tcPr>
          <w:p>
            <w:pPr>
              <w:spacing w:before="40" w:after="40"/>
            </w:pPr>
            <w:r>
              <w:rPr>
                <w:rFonts w:ascii="Calibri" w:hAnsi="Calibri"/>
                <w:color w:val="262626"/>
                <w:sz w:val="20"/>
              </w:rPr>
              <w:t>5</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Swiss</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CHE</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19</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Safe-haven currency (Franc Swiss); arus modal masuk/keluar bernilai sangat masif.</w:t>
            </w:r>
          </w:p>
        </w:tc>
      </w:tr>
      <w:tr>
        <w:tc>
          <w:tcPr>
            <w:tcW w:type="dxa" w:w="1872"/>
            <w:tcMar>
              <w:top w:w="100" w:type="dxa"/>
              <w:bottom w:w="100" w:type="dxa"/>
              <w:left w:w="120" w:type="dxa"/>
              <w:right w:w="120" w:type="dxa"/>
            </w:tcMar>
          </w:tcPr>
          <w:p>
            <w:pPr>
              <w:spacing w:before="40" w:after="40"/>
            </w:pPr>
            <w:r>
              <w:rPr>
                <w:rFonts w:ascii="Calibri" w:hAnsi="Calibri"/>
                <w:color w:val="262626"/>
                <w:sz w:val="20"/>
              </w:rPr>
              <w:t>6</w:t>
            </w:r>
          </w:p>
        </w:tc>
        <w:tc>
          <w:tcPr>
            <w:tcW w:type="dxa" w:w="1872"/>
            <w:tcMar>
              <w:top w:w="100" w:type="dxa"/>
              <w:bottom w:w="100" w:type="dxa"/>
              <w:left w:w="120" w:type="dxa"/>
              <w:right w:w="120" w:type="dxa"/>
            </w:tcMar>
          </w:tcPr>
          <w:p>
            <w:pPr>
              <w:spacing w:before="40" w:after="40"/>
            </w:pPr>
            <w:r>
              <w:rPr>
                <w:rFonts w:ascii="Calibri" w:hAnsi="Calibri"/>
                <w:color w:val="262626"/>
                <w:sz w:val="20"/>
              </w:rPr>
              <w:t>Nigeria</w:t>
            </w:r>
          </w:p>
        </w:tc>
        <w:tc>
          <w:tcPr>
            <w:tcW w:type="dxa" w:w="1872"/>
            <w:tcMar>
              <w:top w:w="100" w:type="dxa"/>
              <w:bottom w:w="100" w:type="dxa"/>
              <w:left w:w="120" w:type="dxa"/>
              <w:right w:w="120" w:type="dxa"/>
            </w:tcMar>
          </w:tcPr>
          <w:p>
            <w:pPr>
              <w:spacing w:before="40" w:after="40"/>
            </w:pPr>
            <w:r>
              <w:rPr>
                <w:rFonts w:ascii="Calibri" w:hAnsi="Calibri"/>
                <w:color w:val="262626"/>
                <w:sz w:val="20"/>
              </w:rPr>
              <w:t>NGA</w:t>
            </w:r>
          </w:p>
        </w:tc>
        <w:tc>
          <w:tcPr>
            <w:tcW w:type="dxa" w:w="1872"/>
            <w:tcMar>
              <w:top w:w="100" w:type="dxa"/>
              <w:bottom w:w="100" w:type="dxa"/>
              <w:left w:w="120" w:type="dxa"/>
              <w:right w:w="120" w:type="dxa"/>
            </w:tcMar>
          </w:tcPr>
          <w:p>
            <w:pPr>
              <w:spacing w:before="40" w:after="40"/>
            </w:pPr>
            <w:r>
              <w:rPr>
                <w:rFonts w:ascii="Calibri" w:hAnsi="Calibri"/>
                <w:color w:val="262626"/>
                <w:sz w:val="20"/>
              </w:rPr>
              <w:t>16</w:t>
            </w:r>
          </w:p>
        </w:tc>
        <w:tc>
          <w:tcPr>
            <w:tcW w:type="dxa" w:w="1872"/>
            <w:tcMar>
              <w:top w:w="100" w:type="dxa"/>
              <w:bottom w:w="100" w:type="dxa"/>
              <w:left w:w="120" w:type="dxa"/>
              <w:right w:w="120" w:type="dxa"/>
            </w:tcMar>
          </w:tcPr>
          <w:p>
            <w:pPr>
              <w:spacing w:before="40" w:after="40"/>
            </w:pPr>
            <w:r>
              <w:rPr>
                <w:rFonts w:ascii="Calibri" w:hAnsi="Calibri"/>
                <w:color w:val="262626"/>
                <w:sz w:val="20"/>
              </w:rPr>
              <w:t>Petrostate dengan volatilitas inflasi dan depresiasi mata uang kronis.</w:t>
            </w:r>
          </w:p>
        </w:tc>
      </w:tr>
      <w:tr>
        <w:tc>
          <w:tcPr>
            <w:tcW w:type="dxa" w:w="1872"/>
            <w:tcMar>
              <w:top w:w="100" w:type="dxa"/>
              <w:bottom w:w="100" w:type="dxa"/>
              <w:left w:w="120" w:type="dxa"/>
              <w:right w:w="120" w:type="dxa"/>
            </w:tcMar>
            <w:shd w:fill="F2F4F7"/>
          </w:tcPr>
          <w:p>
            <w:pPr>
              <w:spacing w:before="40" w:after="40"/>
            </w:pPr>
            <w:r>
              <w:rPr>
                <w:rFonts w:ascii="Calibri" w:hAnsi="Calibri"/>
                <w:color w:val="262626"/>
                <w:sz w:val="20"/>
              </w:rPr>
              <w:t>7</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Rusia</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RUS</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16</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Krisis 1998, sanksi ekonomi, serta fluktuasi harga energi global.</w:t>
            </w:r>
          </w:p>
        </w:tc>
      </w:tr>
      <w:tr>
        <w:tc>
          <w:tcPr>
            <w:tcW w:type="dxa" w:w="1872"/>
            <w:tcMar>
              <w:top w:w="100" w:type="dxa"/>
              <w:bottom w:w="100" w:type="dxa"/>
              <w:left w:w="120" w:type="dxa"/>
              <w:right w:w="120" w:type="dxa"/>
            </w:tcMar>
          </w:tcPr>
          <w:p>
            <w:pPr>
              <w:spacing w:before="40" w:after="40"/>
            </w:pPr>
            <w:r>
              <w:rPr>
                <w:rFonts w:ascii="Calibri" w:hAnsi="Calibri"/>
                <w:color w:val="262626"/>
                <w:sz w:val="20"/>
              </w:rPr>
              <w:t>8</w:t>
            </w:r>
          </w:p>
        </w:tc>
        <w:tc>
          <w:tcPr>
            <w:tcW w:type="dxa" w:w="1872"/>
            <w:tcMar>
              <w:top w:w="100" w:type="dxa"/>
              <w:bottom w:w="100" w:type="dxa"/>
              <w:left w:w="120" w:type="dxa"/>
              <w:right w:w="120" w:type="dxa"/>
            </w:tcMar>
          </w:tcPr>
          <w:p>
            <w:pPr>
              <w:spacing w:before="40" w:after="40"/>
            </w:pPr>
            <w:r>
              <w:rPr>
                <w:rFonts w:ascii="Calibri" w:hAnsi="Calibri"/>
                <w:color w:val="262626"/>
                <w:sz w:val="20"/>
              </w:rPr>
              <w:t>Tiongkok</w:t>
            </w:r>
          </w:p>
        </w:tc>
        <w:tc>
          <w:tcPr>
            <w:tcW w:type="dxa" w:w="1872"/>
            <w:tcMar>
              <w:top w:w="100" w:type="dxa"/>
              <w:bottom w:w="100" w:type="dxa"/>
              <w:left w:w="120" w:type="dxa"/>
              <w:right w:w="120" w:type="dxa"/>
            </w:tcMar>
          </w:tcPr>
          <w:p>
            <w:pPr>
              <w:spacing w:before="40" w:after="40"/>
            </w:pPr>
            <w:r>
              <w:rPr>
                <w:rFonts w:ascii="Calibri" w:hAnsi="Calibri"/>
                <w:color w:val="262626"/>
                <w:sz w:val="20"/>
              </w:rPr>
              <w:t>CHN</w:t>
            </w:r>
          </w:p>
        </w:tc>
        <w:tc>
          <w:tcPr>
            <w:tcW w:type="dxa" w:w="1872"/>
            <w:tcMar>
              <w:top w:w="100" w:type="dxa"/>
              <w:bottom w:w="100" w:type="dxa"/>
              <w:left w:w="120" w:type="dxa"/>
              <w:right w:w="120" w:type="dxa"/>
            </w:tcMar>
          </w:tcPr>
          <w:p>
            <w:pPr>
              <w:spacing w:before="40" w:after="40"/>
            </w:pPr>
            <w:r>
              <w:rPr>
                <w:rFonts w:ascii="Calibri" w:hAnsi="Calibri"/>
                <w:color w:val="262626"/>
                <w:sz w:val="20"/>
              </w:rPr>
              <w:t>15</w:t>
            </w:r>
          </w:p>
        </w:tc>
        <w:tc>
          <w:tcPr>
            <w:tcW w:type="dxa" w:w="1872"/>
            <w:tcMar>
              <w:top w:w="100" w:type="dxa"/>
              <w:bottom w:w="100" w:type="dxa"/>
              <w:left w:w="120" w:type="dxa"/>
              <w:right w:w="120" w:type="dxa"/>
            </w:tcMar>
          </w:tcPr>
          <w:p>
            <w:pPr>
              <w:spacing w:before="40" w:after="40"/>
            </w:pPr>
            <w:r>
              <w:rPr>
                <w:rFonts w:ascii="Calibri" w:hAnsi="Calibri"/>
                <w:color w:val="262626"/>
                <w:sz w:val="20"/>
              </w:rPr>
              <w:t>Laju pertumbuhan PDB &amp; volume ekspor yang menyimpang tinggi dari rata-rata global.</w:t>
            </w:r>
          </w:p>
        </w:tc>
      </w:tr>
      <w:tr>
        <w:tc>
          <w:tcPr>
            <w:tcW w:type="dxa" w:w="1872"/>
            <w:tcMar>
              <w:top w:w="100" w:type="dxa"/>
              <w:bottom w:w="100" w:type="dxa"/>
              <w:left w:w="120" w:type="dxa"/>
              <w:right w:w="120" w:type="dxa"/>
            </w:tcMar>
            <w:shd w:fill="F2F4F7"/>
          </w:tcPr>
          <w:p>
            <w:pPr>
              <w:spacing w:before="40" w:after="40"/>
            </w:pPr>
            <w:r>
              <w:rPr>
                <w:rFonts w:ascii="Calibri" w:hAnsi="Calibri"/>
                <w:color w:val="262626"/>
                <w:sz w:val="20"/>
              </w:rPr>
              <w:t>9</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Malaysia</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MYS</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14</w:t>
            </w:r>
          </w:p>
        </w:tc>
        <w:tc>
          <w:tcPr>
            <w:tcW w:type="dxa" w:w="1872"/>
            <w:tcMar>
              <w:top w:w="100" w:type="dxa"/>
              <w:bottom w:w="100" w:type="dxa"/>
              <w:left w:w="120" w:type="dxa"/>
              <w:right w:w="120" w:type="dxa"/>
            </w:tcMar>
            <w:shd w:fill="F2F4F7"/>
          </w:tcPr>
          <w:p>
            <w:pPr>
              <w:spacing w:before="40" w:after="40"/>
            </w:pPr>
            <w:r>
              <w:rPr>
                <w:rFonts w:ascii="Calibri" w:hAnsi="Calibri"/>
                <w:color w:val="262626"/>
                <w:sz w:val="20"/>
              </w:rPr>
              <w:t>Terpapar Krisis Asia 1997-98 &amp; gejolak harga komoditas ekspor.</w:t>
            </w:r>
          </w:p>
        </w:tc>
      </w:tr>
      <w:tr>
        <w:tc>
          <w:tcPr>
            <w:tcW w:type="dxa" w:w="1872"/>
            <w:tcMar>
              <w:top w:w="100" w:type="dxa"/>
              <w:bottom w:w="100" w:type="dxa"/>
              <w:left w:w="120" w:type="dxa"/>
              <w:right w:w="120" w:type="dxa"/>
            </w:tcMar>
          </w:tcPr>
          <w:p>
            <w:pPr>
              <w:spacing w:before="40" w:after="40"/>
            </w:pPr>
            <w:r>
              <w:rPr>
                <w:rFonts w:ascii="Calibri" w:hAnsi="Calibri"/>
                <w:color w:val="262626"/>
                <w:sz w:val="20"/>
              </w:rPr>
              <w:t>10</w:t>
            </w:r>
          </w:p>
        </w:tc>
        <w:tc>
          <w:tcPr>
            <w:tcW w:type="dxa" w:w="1872"/>
            <w:tcMar>
              <w:top w:w="100" w:type="dxa"/>
              <w:bottom w:w="100" w:type="dxa"/>
              <w:left w:w="120" w:type="dxa"/>
              <w:right w:w="120" w:type="dxa"/>
            </w:tcMar>
          </w:tcPr>
          <w:p>
            <w:pPr>
              <w:spacing w:before="40" w:after="40"/>
            </w:pPr>
            <w:r>
              <w:rPr>
                <w:rFonts w:ascii="Calibri" w:hAnsi="Calibri"/>
                <w:color w:val="262626"/>
                <w:sz w:val="20"/>
              </w:rPr>
              <w:t>Belanda</w:t>
            </w:r>
          </w:p>
        </w:tc>
        <w:tc>
          <w:tcPr>
            <w:tcW w:type="dxa" w:w="1872"/>
            <w:tcMar>
              <w:top w:w="100" w:type="dxa"/>
              <w:bottom w:w="100" w:type="dxa"/>
              <w:left w:w="120" w:type="dxa"/>
              <w:right w:w="120" w:type="dxa"/>
            </w:tcMar>
          </w:tcPr>
          <w:p>
            <w:pPr>
              <w:spacing w:before="40" w:after="40"/>
            </w:pPr>
            <w:r>
              <w:rPr>
                <w:rFonts w:ascii="Calibri" w:hAnsi="Calibri"/>
                <w:color w:val="262626"/>
                <w:sz w:val="20"/>
              </w:rPr>
              <w:t>NLD</w:t>
            </w:r>
          </w:p>
        </w:tc>
        <w:tc>
          <w:tcPr>
            <w:tcW w:type="dxa" w:w="1872"/>
            <w:tcMar>
              <w:top w:w="100" w:type="dxa"/>
              <w:bottom w:w="100" w:type="dxa"/>
              <w:left w:w="120" w:type="dxa"/>
              <w:right w:w="120" w:type="dxa"/>
            </w:tcMar>
          </w:tcPr>
          <w:p>
            <w:pPr>
              <w:spacing w:before="40" w:after="40"/>
            </w:pPr>
            <w:r>
              <w:rPr>
                <w:rFonts w:ascii="Calibri" w:hAnsi="Calibri"/>
                <w:color w:val="262626"/>
                <w:sz w:val="20"/>
              </w:rPr>
              <w:t>14</w:t>
            </w:r>
          </w:p>
        </w:tc>
        <w:tc>
          <w:tcPr>
            <w:tcW w:type="dxa" w:w="1872"/>
            <w:tcMar>
              <w:top w:w="100" w:type="dxa"/>
              <w:bottom w:w="100" w:type="dxa"/>
              <w:left w:w="120" w:type="dxa"/>
              <w:right w:w="120" w:type="dxa"/>
            </w:tcMar>
          </w:tcPr>
          <w:p>
            <w:pPr>
              <w:spacing w:before="40" w:after="40"/>
            </w:pPr>
            <w:r>
              <w:rPr>
                <w:rFonts w:ascii="Calibri" w:hAnsi="Calibri"/>
                <w:color w:val="262626"/>
                <w:sz w:val="20"/>
              </w:rPr>
              <w:t>Hub logistik &amp; perdagangan utama Eropa (Rotterdam effect).</w:t>
            </w:r>
          </w:p>
        </w:tc>
      </w:tr>
    </w:tbl>
    <w:p/>
    <w:p>
      <w:pPr>
        <w:spacing w:before="80" w:after="80"/>
        <w:ind w:left="576"/>
        <w:pBdr>
          <w:left w:val="single" w:sz="18" w:space="8" w:color="1F4E78"/>
        </w:pBdr>
      </w:pPr>
      <w:r>
        <w:rPr>
          <w:i/>
        </w:rPr>
        <w:t xml:space="preserve">💡 </w:t>
      </w:r>
      <w:r>
        <w:rPr>
          <w:b/>
          <w:i/>
        </w:rPr>
        <w:t>Pelajaran Penting (Structural vs Crisis Outliers):</w:t>
      </w:r>
      <w:r>
        <w:rPr>
          <w:i/>
        </w:rPr>
        <w:t xml:space="preserve"> Algoritma berbasis batas seperti OC-SVM tidak hanya menangkap tahun krisis, tetapi juga menandai </w:t>
      </w:r>
      <w:r>
        <w:rPr>
          <w:b/>
          <w:i/>
        </w:rPr>
        <w:t>negara-negara dengan struktur ekonomi ekstrem</w:t>
      </w:r>
      <w:r>
        <w:rPr>
          <w:i/>
        </w:rPr>
        <w:t xml:space="preserve"> (seperti Singapura dengan Trade/GDP sangat tinggi atau Irlandia dengan aktivitas multinasional masif). Hal ini menekankan pentingnya penggabungan model dalam konsensus *Majority Voting*.</w:t>
      </w:r>
    </w:p>
    <w:p>
      <w:pPr>
        <w:spacing w:before="120" w:after="120"/>
        <w:pBdr>
          <w:bottom w:val="single" w:sz="6" w:space="1" w:color="CCCCCC"/>
        </w:pBdr>
      </w:pPr>
    </w:p>
    <w:p>
      <w:pPr>
        <w:keepNext/>
        <w:spacing w:before="280" w:after="120"/>
      </w:pPr>
      <w:r>
        <w:rPr>
          <w:rFonts w:ascii="Calibri" w:hAnsi="Calibri"/>
          <w:b/>
          <w:color w:val="2E5B88"/>
          <w:sz w:val="28"/>
        </w:rPr>
        <w:t>9. Feature Importance (Analisis Mean Difference Z-Score)</w:t>
      </w:r>
    </w:p>
    <w:p>
      <w:pPr>
        <w:spacing w:before="40" w:after="80" w:line="276" w:lineRule="auto"/>
      </w:pPr>
      <w:r>
        <w:t>Sensitivitas fitur dihitung berdasarkan selisih mutlak rata-rata Z-Score antara sampel Anomali vs Normal (</w:t>
      </w:r>
      <w:r>
        <w:rPr>
          <w:rFonts w:ascii="Cambria Math" w:hAnsi="Cambria Math"/>
          <w:i/>
        </w:rPr>
        <w:t>|\mu_{\text{anomali}} - \mu_{\text{normal}}|</w:t>
      </w:r>
      <w:r>
        <w:t>):</w:t>
      </w:r>
    </w:p>
    <w:tbl>
      <w:tblPr>
        <w:tblW w:type="auto" w:w="0"/>
        <w:jc w:val="center"/>
        <w:tblLook w:firstColumn="1" w:firstRow="1" w:lastColumn="0" w:lastRow="0" w:noHBand="0" w:noVBand="1" w:val="04A0"/>
        <w:tblBorders>
          <w:top w:val="single" w:sz="4" w:space="0" w:color="D3D3D3"/>
          <w:left w:val="none"/>
          <w:bottom w:val="single" w:sz="6" w:space="0" w:color="1F4E78"/>
          <w:right w:val="none"/>
          <w:insideH w:val="single" w:sz="4" w:space="0" w:color="D3D3D3"/>
          <w:insideV w:val="none"/>
        </w:tblBorders>
      </w:tblPr>
      <w:tblGrid>
        <w:gridCol w:w="1170"/>
        <w:gridCol w:w="1170"/>
        <w:gridCol w:w="1170"/>
        <w:gridCol w:w="1170"/>
        <w:gridCol w:w="1170"/>
        <w:gridCol w:w="1170"/>
        <w:gridCol w:w="1170"/>
        <w:gridCol w:w="1170"/>
      </w:tblGrid>
      <w:tr>
        <w:tc>
          <w:tcPr>
            <w:tcW w:type="dxa" w:w="1170"/>
            <w:tcMar>
              <w:top w:w="100" w:type="dxa"/>
              <w:bottom w:w="100" w:type="dxa"/>
              <w:left w:w="120" w:type="dxa"/>
              <w:right w:w="120" w:type="dxa"/>
            </w:tcMar>
            <w:shd w:fill="1F4E78"/>
          </w:tcPr>
          <w:p>
            <w:pPr>
              <w:spacing w:before="40" w:after="40"/>
            </w:pPr>
            <w:r>
              <w:rPr>
                <w:rFonts w:ascii="Calibri" w:hAnsi="Calibri"/>
                <w:b/>
                <w:color w:val="FFFFFF"/>
                <w:sz w:val="20"/>
              </w:rPr>
              <w:t>Rank</w:t>
            </w:r>
          </w:p>
        </w:tc>
        <w:tc>
          <w:tcPr>
            <w:tcW w:type="dxa" w:w="1170"/>
            <w:tcMar>
              <w:top w:w="100" w:type="dxa"/>
              <w:bottom w:w="100" w:type="dxa"/>
              <w:left w:w="120" w:type="dxa"/>
              <w:right w:w="120" w:type="dxa"/>
            </w:tcMar>
            <w:shd w:fill="1F4E78"/>
          </w:tcPr>
          <w:p>
            <w:pPr>
              <w:spacing w:before="40" w:after="40"/>
            </w:pPr>
            <w:r>
              <w:rPr>
                <w:rFonts w:ascii="Calibri" w:hAnsi="Calibri"/>
                <w:b/>
                <w:color w:val="FFFFFF"/>
                <w:sz w:val="20"/>
              </w:rPr>
              <w:t>Indikator Makroekonomi</w:t>
            </w:r>
          </w:p>
        </w:tc>
        <w:tc>
          <w:tcPr>
            <w:tcW w:type="dxa" w:w="1170"/>
            <w:tcMar>
              <w:top w:w="100" w:type="dxa"/>
              <w:bottom w:w="100" w:type="dxa"/>
              <w:left w:w="120" w:type="dxa"/>
              <w:right w:w="120" w:type="dxa"/>
            </w:tcMar>
            <w:shd w:fill="1F4E78"/>
          </w:tcPr>
          <w:p>
            <w:pPr>
              <w:spacing w:before="40" w:after="40"/>
            </w:pPr>
            <w:r>
              <w:rPr>
                <w:rFonts w:ascii="Calibri" w:hAnsi="Calibri"/>
                <w:b/>
                <w:color w:val="FFFFFF"/>
                <w:sz w:val="20"/>
              </w:rPr>
              <w:t>Mean Normal (Z)</w:t>
            </w:r>
          </w:p>
        </w:tc>
        <w:tc>
          <w:tcPr>
            <w:tcW w:type="dxa" w:w="1170"/>
            <w:tcMar>
              <w:top w:w="100" w:type="dxa"/>
              <w:bottom w:w="100" w:type="dxa"/>
              <w:left w:w="120" w:type="dxa"/>
              <w:right w:w="120" w:type="dxa"/>
            </w:tcMar>
            <w:shd w:fill="1F4E78"/>
          </w:tcPr>
          <w:p>
            <w:pPr>
              <w:spacing w:before="40" w:after="40"/>
            </w:pPr>
            <w:r>
              <w:rPr>
                <w:rFonts w:ascii="Calibri" w:hAnsi="Calibri"/>
                <w:b/>
                <w:color w:val="FFFFFF"/>
                <w:sz w:val="20"/>
              </w:rPr>
              <w:t>Mean Anomali (Z)</w:t>
            </w:r>
          </w:p>
        </w:tc>
        <w:tc>
          <w:tcPr>
            <w:tcW w:type="dxa" w:w="1170"/>
            <w:tcMar>
              <w:top w:w="100" w:type="dxa"/>
              <w:bottom w:w="100" w:type="dxa"/>
              <w:left w:w="120" w:type="dxa"/>
              <w:right w:w="120" w:type="dxa"/>
            </w:tcMar>
            <w:shd w:fill="1F4E78"/>
          </w:tcPr>
          <w:p>
            <w:pPr>
              <w:spacing w:before="40" w:after="40"/>
            </w:pPr>
            <w:r>
              <w:rPr>
                <w:rFonts w:ascii="Calibri" w:hAnsi="Calibri"/>
                <w:b/>
                <w:color w:val="FFFFFF"/>
                <w:sz w:val="20"/>
              </w:rPr>
              <w:t>Selisih Mutlak (</w:t>
            </w:r>
          </w:p>
        </w:tc>
        <w:tc>
          <w:tcPr>
            <w:tcW w:type="dxa" w:w="1170"/>
            <w:tcMar>
              <w:top w:w="100" w:type="dxa"/>
              <w:bottom w:w="100" w:type="dxa"/>
              <w:left w:w="120" w:type="dxa"/>
              <w:right w:w="120" w:type="dxa"/>
            </w:tcMar>
            <w:shd w:fill="1F4E78"/>
          </w:tcPr>
          <w:p>
            <w:pPr>
              <w:spacing w:before="40" w:after="40"/>
            </w:pPr>
            <w:r>
              <w:rPr>
                <w:rFonts w:ascii="Calibri" w:hAnsi="Calibri"/>
                <w:b/>
                <w:color w:val="FFFFFF"/>
                <w:sz w:val="20"/>
              </w:rPr>
              <w:t>Diff</w:t>
            </w:r>
          </w:p>
        </w:tc>
        <w:tc>
          <w:tcPr>
            <w:tcW w:type="dxa" w:w="1170"/>
            <w:tcMar>
              <w:top w:w="100" w:type="dxa"/>
              <w:bottom w:w="100" w:type="dxa"/>
              <w:left w:w="120" w:type="dxa"/>
              <w:right w:w="120" w:type="dxa"/>
            </w:tcMar>
            <w:shd w:fill="1F4E78"/>
          </w:tcPr>
          <w:p>
            <w:pPr>
              <w:spacing w:before="40" w:after="40"/>
            </w:pPr>
            <w:r>
              <w:rPr>
                <w:rFonts w:ascii="Calibri" w:hAnsi="Calibri"/>
                <w:b/>
                <w:color w:val="FFFFFF"/>
                <w:sz w:val="20"/>
              </w:rPr>
              <w:t>)</w:t>
            </w:r>
          </w:p>
        </w:tc>
        <w:tc>
          <w:tcPr>
            <w:tcW w:type="dxa" w:w="1170"/>
            <w:tcMar>
              <w:top w:w="100" w:type="dxa"/>
              <w:bottom w:w="100" w:type="dxa"/>
              <w:left w:w="120" w:type="dxa"/>
              <w:right w:w="120" w:type="dxa"/>
            </w:tcMar>
            <w:shd w:fill="1F4E78"/>
          </w:tcPr>
          <w:p>
            <w:pPr>
              <w:spacing w:before="40" w:after="40"/>
            </w:pPr>
            <w:r>
              <w:rPr>
                <w:rFonts w:ascii="Calibri" w:hAnsi="Calibri"/>
                <w:b/>
                <w:color w:val="FFFFFF"/>
                <w:sz w:val="20"/>
              </w:rPr>
              <w:t>Interpretasi Ekonomis</w:t>
            </w:r>
          </w:p>
        </w:tc>
      </w:tr>
      <w:tr>
        <w:tc>
          <w:tcPr>
            <w:tcW w:type="dxa" w:w="1170"/>
            <w:tcMar>
              <w:top w:w="100" w:type="dxa"/>
              <w:bottom w:w="100" w:type="dxa"/>
              <w:left w:w="120" w:type="dxa"/>
              <w:right w:w="120" w:type="dxa"/>
            </w:tcMar>
            <w:shd w:fill="F2F4F7"/>
          </w:tcPr>
          <w:p>
            <w:pPr>
              <w:spacing w:before="40" w:after="40"/>
            </w:pPr>
            <w:r>
              <w:rPr>
                <w:rFonts w:ascii="Calibri" w:hAnsi="Calibri"/>
                <w:color w:val="262626"/>
                <w:sz w:val="20"/>
              </w:rPr>
              <w:t>1</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`Exports_GDP`</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-0.1463</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+0.4201</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**0.5663**</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Keterbukaan ekspor ekstrem memicu pergeseran batas.</w:t>
            </w:r>
          </w:p>
        </w:tc>
        <w:tc>
          <w:tcPr>
            <w:tcW w:type="dxa" w:w="1170"/>
          </w:tcPr>
          <w:p/>
        </w:tc>
        <w:tc>
          <w:tcPr>
            <w:tcW w:type="dxa" w:w="1170"/>
          </w:tcPr>
          <w:p/>
        </w:tc>
      </w:tr>
      <w:tr>
        <w:tc>
          <w:tcPr>
            <w:tcW w:type="dxa" w:w="1170"/>
            <w:tcMar>
              <w:top w:w="100" w:type="dxa"/>
              <w:bottom w:w="100" w:type="dxa"/>
              <w:left w:w="120" w:type="dxa"/>
              <w:right w:w="120" w:type="dxa"/>
            </w:tcMar>
          </w:tcPr>
          <w:p>
            <w:pPr>
              <w:spacing w:before="40" w:after="40"/>
            </w:pPr>
            <w:r>
              <w:rPr>
                <w:rFonts w:ascii="Calibri" w:hAnsi="Calibri"/>
                <w:color w:val="262626"/>
                <w:sz w:val="20"/>
              </w:rPr>
              <w:t>2</w:t>
            </w:r>
          </w:p>
        </w:tc>
        <w:tc>
          <w:tcPr>
            <w:tcW w:type="dxa" w:w="1170"/>
            <w:tcMar>
              <w:top w:w="100" w:type="dxa"/>
              <w:bottom w:w="100" w:type="dxa"/>
              <w:left w:w="120" w:type="dxa"/>
              <w:right w:w="120" w:type="dxa"/>
            </w:tcMar>
          </w:tcPr>
          <w:p>
            <w:pPr>
              <w:spacing w:before="40" w:after="40"/>
            </w:pPr>
            <w:r>
              <w:rPr>
                <w:rFonts w:ascii="Calibri" w:hAnsi="Calibri"/>
                <w:color w:val="262626"/>
                <w:sz w:val="20"/>
              </w:rPr>
              <w:t>`Imports_GDP`</w:t>
            </w:r>
          </w:p>
        </w:tc>
        <w:tc>
          <w:tcPr>
            <w:tcW w:type="dxa" w:w="1170"/>
            <w:tcMar>
              <w:top w:w="100" w:type="dxa"/>
              <w:bottom w:w="100" w:type="dxa"/>
              <w:left w:w="120" w:type="dxa"/>
              <w:right w:w="120" w:type="dxa"/>
            </w:tcMar>
          </w:tcPr>
          <w:p>
            <w:pPr>
              <w:spacing w:before="40" w:after="40"/>
            </w:pPr>
            <w:r>
              <w:rPr>
                <w:rFonts w:ascii="Calibri" w:hAnsi="Calibri"/>
                <w:color w:val="262626"/>
                <w:sz w:val="20"/>
              </w:rPr>
              <w:t>-0.1325</w:t>
            </w:r>
          </w:p>
        </w:tc>
        <w:tc>
          <w:tcPr>
            <w:tcW w:type="dxa" w:w="1170"/>
            <w:tcMar>
              <w:top w:w="100" w:type="dxa"/>
              <w:bottom w:w="100" w:type="dxa"/>
              <w:left w:w="120" w:type="dxa"/>
              <w:right w:w="120" w:type="dxa"/>
            </w:tcMar>
          </w:tcPr>
          <w:p>
            <w:pPr>
              <w:spacing w:before="40" w:after="40"/>
            </w:pPr>
            <w:r>
              <w:rPr>
                <w:rFonts w:ascii="Calibri" w:hAnsi="Calibri"/>
                <w:color w:val="262626"/>
                <w:sz w:val="20"/>
              </w:rPr>
              <w:t>+0.3806</w:t>
            </w:r>
          </w:p>
        </w:tc>
        <w:tc>
          <w:tcPr>
            <w:tcW w:type="dxa" w:w="1170"/>
            <w:tcMar>
              <w:top w:w="100" w:type="dxa"/>
              <w:bottom w:w="100" w:type="dxa"/>
              <w:left w:w="120" w:type="dxa"/>
              <w:right w:w="120" w:type="dxa"/>
            </w:tcMar>
          </w:tcPr>
          <w:p>
            <w:pPr>
              <w:spacing w:before="40" w:after="40"/>
            </w:pPr>
            <w:r>
              <w:rPr>
                <w:rFonts w:ascii="Calibri" w:hAnsi="Calibri"/>
                <w:color w:val="262626"/>
                <w:sz w:val="20"/>
              </w:rPr>
              <w:t>**0.5131**</w:t>
            </w:r>
          </w:p>
        </w:tc>
        <w:tc>
          <w:tcPr>
            <w:tcW w:type="dxa" w:w="1170"/>
            <w:tcMar>
              <w:top w:w="100" w:type="dxa"/>
              <w:bottom w:w="100" w:type="dxa"/>
              <w:left w:w="120" w:type="dxa"/>
              <w:right w:w="120" w:type="dxa"/>
            </w:tcMar>
          </w:tcPr>
          <w:p>
            <w:pPr>
              <w:spacing w:before="40" w:after="40"/>
            </w:pPr>
            <w:r>
              <w:rPr>
                <w:rFonts w:ascii="Calibri" w:hAnsi="Calibri"/>
                <w:color w:val="262626"/>
                <w:sz w:val="20"/>
              </w:rPr>
              <w:t>Gejolak impor berkolerasi dengan tekanan pasar domestik.</w:t>
            </w:r>
          </w:p>
        </w:tc>
        <w:tc>
          <w:tcPr>
            <w:tcW w:type="dxa" w:w="1170"/>
          </w:tcPr>
          <w:p/>
        </w:tc>
        <w:tc>
          <w:tcPr>
            <w:tcW w:type="dxa" w:w="1170"/>
          </w:tcPr>
          <w:p/>
        </w:tc>
      </w:tr>
      <w:tr>
        <w:tc>
          <w:tcPr>
            <w:tcW w:type="dxa" w:w="1170"/>
            <w:tcMar>
              <w:top w:w="100" w:type="dxa"/>
              <w:bottom w:w="100" w:type="dxa"/>
              <w:left w:w="120" w:type="dxa"/>
              <w:right w:w="120" w:type="dxa"/>
            </w:tcMar>
            <w:shd w:fill="F2F4F7"/>
          </w:tcPr>
          <w:p>
            <w:pPr>
              <w:spacing w:before="40" w:after="40"/>
            </w:pPr>
            <w:r>
              <w:rPr>
                <w:rFonts w:ascii="Calibri" w:hAnsi="Calibri"/>
                <w:color w:val="262626"/>
                <w:sz w:val="20"/>
              </w:rPr>
              <w:t>3</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`Gross_Savings_GDP`</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-0.1032</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+0.2965</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**0.3997**</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Distorsi tabungan nasional saat terjadi krisis.</w:t>
            </w:r>
          </w:p>
        </w:tc>
        <w:tc>
          <w:tcPr>
            <w:tcW w:type="dxa" w:w="1170"/>
          </w:tcPr>
          <w:p/>
        </w:tc>
        <w:tc>
          <w:tcPr>
            <w:tcW w:type="dxa" w:w="1170"/>
          </w:tcPr>
          <w:p/>
        </w:tc>
      </w:tr>
      <w:tr>
        <w:tc>
          <w:tcPr>
            <w:tcW w:type="dxa" w:w="1170"/>
            <w:tcMar>
              <w:top w:w="100" w:type="dxa"/>
              <w:bottom w:w="100" w:type="dxa"/>
              <w:left w:w="120" w:type="dxa"/>
              <w:right w:w="120" w:type="dxa"/>
            </w:tcMar>
          </w:tcPr>
          <w:p>
            <w:pPr>
              <w:spacing w:before="40" w:after="40"/>
            </w:pPr>
            <w:r>
              <w:rPr>
                <w:rFonts w:ascii="Calibri" w:hAnsi="Calibri"/>
                <w:color w:val="262626"/>
                <w:sz w:val="20"/>
              </w:rPr>
              <w:t>4</w:t>
            </w:r>
          </w:p>
        </w:tc>
        <w:tc>
          <w:tcPr>
            <w:tcW w:type="dxa" w:w="1170"/>
            <w:tcMar>
              <w:top w:w="100" w:type="dxa"/>
              <w:bottom w:w="100" w:type="dxa"/>
              <w:left w:w="120" w:type="dxa"/>
              <w:right w:w="120" w:type="dxa"/>
            </w:tcMar>
          </w:tcPr>
          <w:p>
            <w:pPr>
              <w:spacing w:before="40" w:after="40"/>
            </w:pPr>
            <w:r>
              <w:rPr>
                <w:rFonts w:ascii="Calibri" w:hAnsi="Calibri"/>
                <w:color w:val="262626"/>
                <w:sz w:val="20"/>
              </w:rPr>
              <w:t>`Current_Account_GDP`</w:t>
            </w:r>
          </w:p>
        </w:tc>
        <w:tc>
          <w:tcPr>
            <w:tcW w:type="dxa" w:w="1170"/>
            <w:tcMar>
              <w:top w:w="100" w:type="dxa"/>
              <w:bottom w:w="100" w:type="dxa"/>
              <w:left w:w="120" w:type="dxa"/>
              <w:right w:w="120" w:type="dxa"/>
            </w:tcMar>
          </w:tcPr>
          <w:p>
            <w:pPr>
              <w:spacing w:before="40" w:after="40"/>
            </w:pPr>
            <w:r>
              <w:rPr>
                <w:rFonts w:ascii="Calibri" w:hAnsi="Calibri"/>
                <w:color w:val="262626"/>
                <w:sz w:val="20"/>
              </w:rPr>
              <w:t>-0.0875</w:t>
            </w:r>
          </w:p>
        </w:tc>
        <w:tc>
          <w:tcPr>
            <w:tcW w:type="dxa" w:w="1170"/>
            <w:tcMar>
              <w:top w:w="100" w:type="dxa"/>
              <w:bottom w:w="100" w:type="dxa"/>
              <w:left w:w="120" w:type="dxa"/>
              <w:right w:w="120" w:type="dxa"/>
            </w:tcMar>
          </w:tcPr>
          <w:p>
            <w:pPr>
              <w:spacing w:before="40" w:after="40"/>
            </w:pPr>
            <w:r>
              <w:rPr>
                <w:rFonts w:ascii="Calibri" w:hAnsi="Calibri"/>
                <w:color w:val="262626"/>
                <w:sz w:val="20"/>
              </w:rPr>
              <w:t>+0.2512</w:t>
            </w:r>
          </w:p>
        </w:tc>
        <w:tc>
          <w:tcPr>
            <w:tcW w:type="dxa" w:w="1170"/>
            <w:tcMar>
              <w:top w:w="100" w:type="dxa"/>
              <w:bottom w:w="100" w:type="dxa"/>
              <w:left w:w="120" w:type="dxa"/>
              <w:right w:w="120" w:type="dxa"/>
            </w:tcMar>
          </w:tcPr>
          <w:p>
            <w:pPr>
              <w:spacing w:before="40" w:after="40"/>
            </w:pPr>
            <w:r>
              <w:rPr>
                <w:rFonts w:ascii="Calibri" w:hAnsi="Calibri"/>
                <w:color w:val="262626"/>
                <w:sz w:val="20"/>
              </w:rPr>
              <w:t>**0.3386**</w:t>
            </w:r>
          </w:p>
        </w:tc>
        <w:tc>
          <w:tcPr>
            <w:tcW w:type="dxa" w:w="1170"/>
            <w:tcMar>
              <w:top w:w="100" w:type="dxa"/>
              <w:bottom w:w="100" w:type="dxa"/>
              <w:left w:w="120" w:type="dxa"/>
              <w:right w:w="120" w:type="dxa"/>
            </w:tcMar>
          </w:tcPr>
          <w:p>
            <w:pPr>
              <w:spacing w:before="40" w:after="40"/>
            </w:pPr>
            <w:r>
              <w:rPr>
                <w:rFonts w:ascii="Calibri" w:hAnsi="Calibri"/>
                <w:color w:val="262626"/>
                <w:sz w:val="20"/>
              </w:rPr>
              <w:t>Ketidakseimbangan neraca transaksi berjalan.</w:t>
            </w:r>
          </w:p>
        </w:tc>
        <w:tc>
          <w:tcPr>
            <w:tcW w:type="dxa" w:w="1170"/>
          </w:tcPr>
          <w:p/>
        </w:tc>
        <w:tc>
          <w:tcPr>
            <w:tcW w:type="dxa" w:w="1170"/>
          </w:tcPr>
          <w:p/>
        </w:tc>
      </w:tr>
      <w:tr>
        <w:tc>
          <w:tcPr>
            <w:tcW w:type="dxa" w:w="1170"/>
            <w:tcMar>
              <w:top w:w="100" w:type="dxa"/>
              <w:bottom w:w="100" w:type="dxa"/>
              <w:left w:w="120" w:type="dxa"/>
              <w:right w:w="120" w:type="dxa"/>
            </w:tcMar>
            <w:shd w:fill="F2F4F7"/>
          </w:tcPr>
          <w:p>
            <w:pPr>
              <w:spacing w:before="40" w:after="40"/>
            </w:pPr>
            <w:r>
              <w:rPr>
                <w:rFonts w:ascii="Calibri" w:hAnsi="Calibri"/>
                <w:color w:val="262626"/>
                <w:sz w:val="20"/>
              </w:rPr>
              <w:t>5</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`FDI_Inflows_GDP`</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-0.0842</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+0.2417</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**0.3259**</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Sudden stop atau pelarian modal asing.</w:t>
            </w:r>
          </w:p>
        </w:tc>
        <w:tc>
          <w:tcPr>
            <w:tcW w:type="dxa" w:w="1170"/>
          </w:tcPr>
          <w:p/>
        </w:tc>
        <w:tc>
          <w:tcPr>
            <w:tcW w:type="dxa" w:w="1170"/>
          </w:tcPr>
          <w:p/>
        </w:tc>
      </w:tr>
      <w:tr>
        <w:tc>
          <w:tcPr>
            <w:tcW w:type="dxa" w:w="1170"/>
            <w:tcMar>
              <w:top w:w="100" w:type="dxa"/>
              <w:bottom w:w="100" w:type="dxa"/>
              <w:left w:w="120" w:type="dxa"/>
              <w:right w:w="120" w:type="dxa"/>
            </w:tcMar>
          </w:tcPr>
          <w:p>
            <w:pPr>
              <w:spacing w:before="40" w:after="40"/>
            </w:pPr>
            <w:r>
              <w:rPr>
                <w:rFonts w:ascii="Calibri" w:hAnsi="Calibri"/>
                <w:color w:val="262626"/>
                <w:sz w:val="20"/>
              </w:rPr>
              <w:t>6</w:t>
            </w:r>
          </w:p>
        </w:tc>
        <w:tc>
          <w:tcPr>
            <w:tcW w:type="dxa" w:w="1170"/>
            <w:tcMar>
              <w:top w:w="100" w:type="dxa"/>
              <w:bottom w:w="100" w:type="dxa"/>
              <w:left w:w="120" w:type="dxa"/>
              <w:right w:w="120" w:type="dxa"/>
            </w:tcMar>
          </w:tcPr>
          <w:p>
            <w:pPr>
              <w:spacing w:before="40" w:after="40"/>
            </w:pPr>
            <w:r>
              <w:rPr>
                <w:rFonts w:ascii="Calibri" w:hAnsi="Calibri"/>
                <w:color w:val="262626"/>
                <w:sz w:val="20"/>
              </w:rPr>
              <w:t>`Reserves_Months_Imports`</w:t>
            </w:r>
          </w:p>
        </w:tc>
        <w:tc>
          <w:tcPr>
            <w:tcW w:type="dxa" w:w="1170"/>
            <w:tcMar>
              <w:top w:w="100" w:type="dxa"/>
              <w:bottom w:w="100" w:type="dxa"/>
              <w:left w:w="120" w:type="dxa"/>
              <w:right w:w="120" w:type="dxa"/>
            </w:tcMar>
          </w:tcPr>
          <w:p>
            <w:pPr>
              <w:spacing w:before="40" w:after="40"/>
            </w:pPr>
            <w:r>
              <w:rPr>
                <w:rFonts w:ascii="Calibri" w:hAnsi="Calibri"/>
                <w:color w:val="262626"/>
                <w:sz w:val="20"/>
              </w:rPr>
              <w:t>-0.0796</w:t>
            </w:r>
          </w:p>
        </w:tc>
        <w:tc>
          <w:tcPr>
            <w:tcW w:type="dxa" w:w="1170"/>
            <w:tcMar>
              <w:top w:w="100" w:type="dxa"/>
              <w:bottom w:w="100" w:type="dxa"/>
              <w:left w:w="120" w:type="dxa"/>
              <w:right w:w="120" w:type="dxa"/>
            </w:tcMar>
          </w:tcPr>
          <w:p>
            <w:pPr>
              <w:spacing w:before="40" w:after="40"/>
            </w:pPr>
            <w:r>
              <w:rPr>
                <w:rFonts w:ascii="Calibri" w:hAnsi="Calibri"/>
                <w:color w:val="262626"/>
                <w:sz w:val="20"/>
              </w:rPr>
              <w:t>+0.2285</w:t>
            </w:r>
          </w:p>
        </w:tc>
        <w:tc>
          <w:tcPr>
            <w:tcW w:type="dxa" w:w="1170"/>
            <w:tcMar>
              <w:top w:w="100" w:type="dxa"/>
              <w:bottom w:w="100" w:type="dxa"/>
              <w:left w:w="120" w:type="dxa"/>
              <w:right w:w="120" w:type="dxa"/>
            </w:tcMar>
          </w:tcPr>
          <w:p>
            <w:pPr>
              <w:spacing w:before="40" w:after="40"/>
            </w:pPr>
            <w:r>
              <w:rPr>
                <w:rFonts w:ascii="Calibri" w:hAnsi="Calibri"/>
                <w:color w:val="262626"/>
                <w:sz w:val="20"/>
              </w:rPr>
              <w:t>**0.3081**</w:t>
            </w:r>
          </w:p>
        </w:tc>
        <w:tc>
          <w:tcPr>
            <w:tcW w:type="dxa" w:w="1170"/>
            <w:tcMar>
              <w:top w:w="100" w:type="dxa"/>
              <w:bottom w:w="100" w:type="dxa"/>
              <w:left w:w="120" w:type="dxa"/>
              <w:right w:w="120" w:type="dxa"/>
            </w:tcMar>
          </w:tcPr>
          <w:p>
            <w:pPr>
              <w:spacing w:before="40" w:after="40"/>
            </w:pPr>
            <w:r>
              <w:rPr>
                <w:rFonts w:ascii="Calibri" w:hAnsi="Calibri"/>
                <w:color w:val="262626"/>
                <w:sz w:val="20"/>
              </w:rPr>
              <w:t>Penurunan ketahanan likuiditas devisa.</w:t>
            </w:r>
          </w:p>
        </w:tc>
        <w:tc>
          <w:tcPr>
            <w:tcW w:type="dxa" w:w="1170"/>
          </w:tcPr>
          <w:p/>
        </w:tc>
        <w:tc>
          <w:tcPr>
            <w:tcW w:type="dxa" w:w="1170"/>
          </w:tcPr>
          <w:p/>
        </w:tc>
      </w:tr>
      <w:tr>
        <w:tc>
          <w:tcPr>
            <w:tcW w:type="dxa" w:w="1170"/>
            <w:tcMar>
              <w:top w:w="100" w:type="dxa"/>
              <w:bottom w:w="100" w:type="dxa"/>
              <w:left w:w="120" w:type="dxa"/>
              <w:right w:w="120" w:type="dxa"/>
            </w:tcMar>
            <w:shd w:fill="F2F4F7"/>
          </w:tcPr>
          <w:p>
            <w:pPr>
              <w:spacing w:before="40" w:after="40"/>
            </w:pPr>
            <w:r>
              <w:rPr>
                <w:rFonts w:ascii="Calibri" w:hAnsi="Calibri"/>
                <w:color w:val="262626"/>
                <w:sz w:val="20"/>
              </w:rPr>
              <w:t>7</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`Exchange_Depreciation`</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-0.0735</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+0.2110</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**0.2845**</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Lonjakan persentase depresiasi mata uang.</w:t>
            </w:r>
          </w:p>
        </w:tc>
        <w:tc>
          <w:tcPr>
            <w:tcW w:type="dxa" w:w="1170"/>
          </w:tcPr>
          <w:p/>
        </w:tc>
        <w:tc>
          <w:tcPr>
            <w:tcW w:type="dxa" w:w="1170"/>
          </w:tcPr>
          <w:p/>
        </w:tc>
      </w:tr>
      <w:tr>
        <w:tc>
          <w:tcPr>
            <w:tcW w:type="dxa" w:w="1170"/>
            <w:tcMar>
              <w:top w:w="100" w:type="dxa"/>
              <w:bottom w:w="100" w:type="dxa"/>
              <w:left w:w="120" w:type="dxa"/>
              <w:right w:w="120" w:type="dxa"/>
            </w:tcMar>
          </w:tcPr>
          <w:p>
            <w:pPr>
              <w:spacing w:before="40" w:after="40"/>
            </w:pPr>
            <w:r>
              <w:rPr>
                <w:rFonts w:ascii="Calibri" w:hAnsi="Calibri"/>
                <w:color w:val="262626"/>
                <w:sz w:val="20"/>
              </w:rPr>
              <w:t>8</w:t>
            </w:r>
          </w:p>
        </w:tc>
        <w:tc>
          <w:tcPr>
            <w:tcW w:type="dxa" w:w="1170"/>
            <w:tcMar>
              <w:top w:w="100" w:type="dxa"/>
              <w:bottom w:w="100" w:type="dxa"/>
              <w:left w:w="120" w:type="dxa"/>
              <w:right w:w="120" w:type="dxa"/>
            </w:tcMar>
          </w:tcPr>
          <w:p>
            <w:pPr>
              <w:spacing w:before="40" w:after="40"/>
            </w:pPr>
            <w:r>
              <w:rPr>
                <w:rFonts w:ascii="Calibri" w:hAnsi="Calibri"/>
                <w:color w:val="262626"/>
                <w:sz w:val="20"/>
              </w:rPr>
              <w:t>`Manufacturing_Value`</w:t>
            </w:r>
          </w:p>
        </w:tc>
        <w:tc>
          <w:tcPr>
            <w:tcW w:type="dxa" w:w="1170"/>
            <w:tcMar>
              <w:top w:w="100" w:type="dxa"/>
              <w:bottom w:w="100" w:type="dxa"/>
              <w:left w:w="120" w:type="dxa"/>
              <w:right w:w="120" w:type="dxa"/>
            </w:tcMar>
          </w:tcPr>
          <w:p>
            <w:pPr>
              <w:spacing w:before="40" w:after="40"/>
            </w:pPr>
            <w:r>
              <w:rPr>
                <w:rFonts w:ascii="Calibri" w:hAnsi="Calibri"/>
                <w:color w:val="262626"/>
                <w:sz w:val="20"/>
              </w:rPr>
              <w:t>-0.0734</w:t>
            </w:r>
          </w:p>
        </w:tc>
        <w:tc>
          <w:tcPr>
            <w:tcW w:type="dxa" w:w="1170"/>
            <w:tcMar>
              <w:top w:w="100" w:type="dxa"/>
              <w:bottom w:w="100" w:type="dxa"/>
              <w:left w:w="120" w:type="dxa"/>
              <w:right w:w="120" w:type="dxa"/>
            </w:tcMar>
          </w:tcPr>
          <w:p>
            <w:pPr>
              <w:spacing w:before="40" w:after="40"/>
            </w:pPr>
            <w:r>
              <w:rPr>
                <w:rFonts w:ascii="Calibri" w:hAnsi="Calibri"/>
                <w:color w:val="262626"/>
                <w:sz w:val="20"/>
              </w:rPr>
              <w:t>+0.2107</w:t>
            </w:r>
          </w:p>
        </w:tc>
        <w:tc>
          <w:tcPr>
            <w:tcW w:type="dxa" w:w="1170"/>
            <w:tcMar>
              <w:top w:w="100" w:type="dxa"/>
              <w:bottom w:w="100" w:type="dxa"/>
              <w:left w:w="120" w:type="dxa"/>
              <w:right w:w="120" w:type="dxa"/>
            </w:tcMar>
          </w:tcPr>
          <w:p>
            <w:pPr>
              <w:spacing w:before="40" w:after="40"/>
            </w:pPr>
            <w:r>
              <w:rPr>
                <w:rFonts w:ascii="Calibri" w:hAnsi="Calibri"/>
                <w:color w:val="262626"/>
                <w:sz w:val="20"/>
              </w:rPr>
              <w:t>**0.2841**</w:t>
            </w:r>
          </w:p>
        </w:tc>
        <w:tc>
          <w:tcPr>
            <w:tcW w:type="dxa" w:w="1170"/>
            <w:tcMar>
              <w:top w:w="100" w:type="dxa"/>
              <w:bottom w:w="100" w:type="dxa"/>
              <w:left w:w="120" w:type="dxa"/>
              <w:right w:w="120" w:type="dxa"/>
            </w:tcMar>
          </w:tcPr>
          <w:p>
            <w:pPr>
              <w:spacing w:before="40" w:after="40"/>
            </w:pPr>
            <w:r>
              <w:rPr>
                <w:rFonts w:ascii="Calibri" w:hAnsi="Calibri"/>
                <w:color w:val="262626"/>
                <w:sz w:val="20"/>
              </w:rPr>
              <w:t>Guncangan pada sektor riil manufaktur.</w:t>
            </w:r>
          </w:p>
        </w:tc>
        <w:tc>
          <w:tcPr>
            <w:tcW w:type="dxa" w:w="1170"/>
          </w:tcPr>
          <w:p/>
        </w:tc>
        <w:tc>
          <w:tcPr>
            <w:tcW w:type="dxa" w:w="1170"/>
          </w:tcPr>
          <w:p/>
        </w:tc>
      </w:tr>
      <w:tr>
        <w:tc>
          <w:tcPr>
            <w:tcW w:type="dxa" w:w="1170"/>
            <w:tcMar>
              <w:top w:w="100" w:type="dxa"/>
              <w:bottom w:w="100" w:type="dxa"/>
              <w:left w:w="120" w:type="dxa"/>
              <w:right w:w="120" w:type="dxa"/>
            </w:tcMar>
            <w:shd w:fill="F2F4F7"/>
          </w:tcPr>
          <w:p>
            <w:pPr>
              <w:spacing w:before="40" w:after="40"/>
            </w:pPr>
            <w:r>
              <w:rPr>
                <w:rFonts w:ascii="Calibri" w:hAnsi="Calibri"/>
                <w:color w:val="262626"/>
                <w:sz w:val="20"/>
              </w:rPr>
              <w:t>9</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`Inflation_CPI`</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-0.0625</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+0.1795</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**0.2420**</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Tekanan hiperinflasi atau gejolak harga.</w:t>
            </w:r>
          </w:p>
        </w:tc>
        <w:tc>
          <w:tcPr>
            <w:tcW w:type="dxa" w:w="1170"/>
          </w:tcPr>
          <w:p/>
        </w:tc>
        <w:tc>
          <w:tcPr>
            <w:tcW w:type="dxa" w:w="1170"/>
          </w:tcPr>
          <w:p/>
        </w:tc>
      </w:tr>
      <w:tr>
        <w:tc>
          <w:tcPr>
            <w:tcW w:type="dxa" w:w="1170"/>
            <w:tcMar>
              <w:top w:w="100" w:type="dxa"/>
              <w:bottom w:w="100" w:type="dxa"/>
              <w:left w:w="120" w:type="dxa"/>
              <w:right w:w="120" w:type="dxa"/>
            </w:tcMar>
          </w:tcPr>
          <w:p>
            <w:pPr>
              <w:spacing w:before="40" w:after="40"/>
            </w:pPr>
            <w:r>
              <w:rPr>
                <w:rFonts w:ascii="Calibri" w:hAnsi="Calibri"/>
                <w:color w:val="262626"/>
                <w:sz w:val="20"/>
              </w:rPr>
              <w:t>10</w:t>
            </w:r>
          </w:p>
        </w:tc>
        <w:tc>
          <w:tcPr>
            <w:tcW w:type="dxa" w:w="1170"/>
            <w:tcMar>
              <w:top w:w="100" w:type="dxa"/>
              <w:bottom w:w="100" w:type="dxa"/>
              <w:left w:w="120" w:type="dxa"/>
              <w:right w:w="120" w:type="dxa"/>
            </w:tcMar>
          </w:tcPr>
          <w:p>
            <w:pPr>
              <w:spacing w:before="40" w:after="40"/>
            </w:pPr>
            <w:r>
              <w:rPr>
                <w:rFonts w:ascii="Calibri" w:hAnsi="Calibri"/>
                <w:color w:val="262626"/>
                <w:sz w:val="20"/>
              </w:rPr>
              <w:t>`GDP_Growth`</w:t>
            </w:r>
          </w:p>
        </w:tc>
        <w:tc>
          <w:tcPr>
            <w:tcW w:type="dxa" w:w="1170"/>
            <w:tcMar>
              <w:top w:w="100" w:type="dxa"/>
              <w:bottom w:w="100" w:type="dxa"/>
              <w:left w:w="120" w:type="dxa"/>
              <w:right w:w="120" w:type="dxa"/>
            </w:tcMar>
          </w:tcPr>
          <w:p>
            <w:pPr>
              <w:spacing w:before="40" w:after="40"/>
            </w:pPr>
            <w:r>
              <w:rPr>
                <w:rFonts w:ascii="Calibri" w:hAnsi="Calibri"/>
                <w:color w:val="262626"/>
                <w:sz w:val="20"/>
              </w:rPr>
              <w:t>+0.0580</w:t>
            </w:r>
          </w:p>
        </w:tc>
        <w:tc>
          <w:tcPr>
            <w:tcW w:type="dxa" w:w="1170"/>
            <w:tcMar>
              <w:top w:w="100" w:type="dxa"/>
              <w:bottom w:w="100" w:type="dxa"/>
              <w:left w:w="120" w:type="dxa"/>
              <w:right w:w="120" w:type="dxa"/>
            </w:tcMar>
          </w:tcPr>
          <w:p>
            <w:pPr>
              <w:spacing w:before="40" w:after="40"/>
            </w:pPr>
            <w:r>
              <w:rPr>
                <w:rFonts w:ascii="Calibri" w:hAnsi="Calibri"/>
                <w:color w:val="262626"/>
                <w:sz w:val="20"/>
              </w:rPr>
              <w:t>-0.1664</w:t>
            </w:r>
          </w:p>
        </w:tc>
        <w:tc>
          <w:tcPr>
            <w:tcW w:type="dxa" w:w="1170"/>
            <w:tcMar>
              <w:top w:w="100" w:type="dxa"/>
              <w:bottom w:w="100" w:type="dxa"/>
              <w:left w:w="120" w:type="dxa"/>
              <w:right w:w="120" w:type="dxa"/>
            </w:tcMar>
          </w:tcPr>
          <w:p>
            <w:pPr>
              <w:spacing w:before="40" w:after="40"/>
            </w:pPr>
            <w:r>
              <w:rPr>
                <w:rFonts w:ascii="Calibri" w:hAnsi="Calibri"/>
                <w:color w:val="262626"/>
                <w:sz w:val="20"/>
              </w:rPr>
              <w:t>**0.2244**</w:t>
            </w:r>
          </w:p>
        </w:tc>
        <w:tc>
          <w:tcPr>
            <w:tcW w:type="dxa" w:w="1170"/>
            <w:tcMar>
              <w:top w:w="100" w:type="dxa"/>
              <w:bottom w:w="100" w:type="dxa"/>
              <w:left w:w="120" w:type="dxa"/>
              <w:right w:w="120" w:type="dxa"/>
            </w:tcMar>
          </w:tcPr>
          <w:p>
            <w:pPr>
              <w:spacing w:before="40" w:after="40"/>
            </w:pPr>
            <w:r>
              <w:rPr>
                <w:rFonts w:ascii="Calibri" w:hAnsi="Calibri"/>
                <w:color w:val="262626"/>
                <w:sz w:val="20"/>
              </w:rPr>
              <w:t>Kontraksi pertumbuhan PDB riil.</w:t>
            </w:r>
          </w:p>
        </w:tc>
        <w:tc>
          <w:tcPr>
            <w:tcW w:type="dxa" w:w="1170"/>
          </w:tcPr>
          <w:p/>
        </w:tc>
        <w:tc>
          <w:tcPr>
            <w:tcW w:type="dxa" w:w="1170"/>
          </w:tcPr>
          <w:p/>
        </w:tc>
      </w:tr>
      <w:tr>
        <w:tc>
          <w:tcPr>
            <w:tcW w:type="dxa" w:w="1170"/>
            <w:tcMar>
              <w:top w:w="100" w:type="dxa"/>
              <w:bottom w:w="100" w:type="dxa"/>
              <w:left w:w="120" w:type="dxa"/>
              <w:right w:w="120" w:type="dxa"/>
            </w:tcMar>
            <w:shd w:fill="F2F4F7"/>
          </w:tcPr>
          <w:p>
            <w:pPr>
              <w:spacing w:before="40" w:after="40"/>
            </w:pPr>
            <w:r>
              <w:rPr>
                <w:rFonts w:ascii="Calibri" w:hAnsi="Calibri"/>
                <w:color w:val="262626"/>
                <w:sz w:val="20"/>
              </w:rPr>
              <w:t>11</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`Broad_Money_Growth`</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-0.0535</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+0.1535</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**0.2070**</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Ekspansi/kontraksi likuiditas moneter M2.</w:t>
            </w:r>
          </w:p>
        </w:tc>
        <w:tc>
          <w:tcPr>
            <w:tcW w:type="dxa" w:w="1170"/>
          </w:tcPr>
          <w:p/>
        </w:tc>
        <w:tc>
          <w:tcPr>
            <w:tcW w:type="dxa" w:w="1170"/>
          </w:tcPr>
          <w:p/>
        </w:tc>
      </w:tr>
      <w:tr>
        <w:tc>
          <w:tcPr>
            <w:tcW w:type="dxa" w:w="1170"/>
            <w:tcMar>
              <w:top w:w="100" w:type="dxa"/>
              <w:bottom w:w="100" w:type="dxa"/>
              <w:left w:w="120" w:type="dxa"/>
              <w:right w:w="120" w:type="dxa"/>
            </w:tcMar>
          </w:tcPr>
          <w:p>
            <w:pPr>
              <w:spacing w:before="40" w:after="40"/>
            </w:pPr>
            <w:r>
              <w:rPr>
                <w:rFonts w:ascii="Calibri" w:hAnsi="Calibri"/>
                <w:color w:val="262626"/>
                <w:sz w:val="20"/>
              </w:rPr>
              <w:t>12</w:t>
            </w:r>
          </w:p>
        </w:tc>
        <w:tc>
          <w:tcPr>
            <w:tcW w:type="dxa" w:w="1170"/>
            <w:tcMar>
              <w:top w:w="100" w:type="dxa"/>
              <w:bottom w:w="100" w:type="dxa"/>
              <w:left w:w="120" w:type="dxa"/>
              <w:right w:w="120" w:type="dxa"/>
            </w:tcMar>
          </w:tcPr>
          <w:p>
            <w:pPr>
              <w:spacing w:before="40" w:after="40"/>
            </w:pPr>
            <w:r>
              <w:rPr>
                <w:rFonts w:ascii="Calibri" w:hAnsi="Calibri"/>
                <w:color w:val="262626"/>
                <w:sz w:val="20"/>
              </w:rPr>
              <w:t>`Investment_GDP`</w:t>
            </w:r>
          </w:p>
        </w:tc>
        <w:tc>
          <w:tcPr>
            <w:tcW w:type="dxa" w:w="1170"/>
            <w:tcMar>
              <w:top w:w="100" w:type="dxa"/>
              <w:bottom w:w="100" w:type="dxa"/>
              <w:left w:w="120" w:type="dxa"/>
              <w:right w:w="120" w:type="dxa"/>
            </w:tcMar>
          </w:tcPr>
          <w:p>
            <w:pPr>
              <w:spacing w:before="40" w:after="40"/>
            </w:pPr>
            <w:r>
              <w:rPr>
                <w:rFonts w:ascii="Calibri" w:hAnsi="Calibri"/>
                <w:color w:val="262626"/>
                <w:sz w:val="20"/>
              </w:rPr>
              <w:t>-0.0492</w:t>
            </w:r>
          </w:p>
        </w:tc>
        <w:tc>
          <w:tcPr>
            <w:tcW w:type="dxa" w:w="1170"/>
            <w:tcMar>
              <w:top w:w="100" w:type="dxa"/>
              <w:bottom w:w="100" w:type="dxa"/>
              <w:left w:w="120" w:type="dxa"/>
              <w:right w:w="120" w:type="dxa"/>
            </w:tcMar>
          </w:tcPr>
          <w:p>
            <w:pPr>
              <w:spacing w:before="40" w:after="40"/>
            </w:pPr>
            <w:r>
              <w:rPr>
                <w:rFonts w:ascii="Calibri" w:hAnsi="Calibri"/>
                <w:color w:val="262626"/>
                <w:sz w:val="20"/>
              </w:rPr>
              <w:t>+0.1412</w:t>
            </w:r>
          </w:p>
        </w:tc>
        <w:tc>
          <w:tcPr>
            <w:tcW w:type="dxa" w:w="1170"/>
            <w:tcMar>
              <w:top w:w="100" w:type="dxa"/>
              <w:bottom w:w="100" w:type="dxa"/>
              <w:left w:w="120" w:type="dxa"/>
              <w:right w:w="120" w:type="dxa"/>
            </w:tcMar>
          </w:tcPr>
          <w:p>
            <w:pPr>
              <w:spacing w:before="40" w:after="40"/>
            </w:pPr>
            <w:r>
              <w:rPr>
                <w:rFonts w:ascii="Calibri" w:hAnsi="Calibri"/>
                <w:color w:val="262626"/>
                <w:sz w:val="20"/>
              </w:rPr>
              <w:t>**0.1903**</w:t>
            </w:r>
          </w:p>
        </w:tc>
        <w:tc>
          <w:tcPr>
            <w:tcW w:type="dxa" w:w="1170"/>
            <w:tcMar>
              <w:top w:w="100" w:type="dxa"/>
              <w:bottom w:w="100" w:type="dxa"/>
              <w:left w:w="120" w:type="dxa"/>
              <w:right w:w="120" w:type="dxa"/>
            </w:tcMar>
          </w:tcPr>
          <w:p>
            <w:pPr>
              <w:spacing w:before="40" w:after="40"/>
            </w:pPr>
            <w:r>
              <w:rPr>
                <w:rFonts w:ascii="Calibri" w:hAnsi="Calibri"/>
                <w:color w:val="262626"/>
                <w:sz w:val="20"/>
              </w:rPr>
              <w:t>Penurunan pembentukan modal tetap.</w:t>
            </w:r>
          </w:p>
        </w:tc>
        <w:tc>
          <w:tcPr>
            <w:tcW w:type="dxa" w:w="1170"/>
          </w:tcPr>
          <w:p/>
        </w:tc>
        <w:tc>
          <w:tcPr>
            <w:tcW w:type="dxa" w:w="1170"/>
          </w:tcPr>
          <w:p/>
        </w:tc>
      </w:tr>
      <w:tr>
        <w:tc>
          <w:tcPr>
            <w:tcW w:type="dxa" w:w="1170"/>
            <w:tcMar>
              <w:top w:w="100" w:type="dxa"/>
              <w:bottom w:w="100" w:type="dxa"/>
              <w:left w:w="120" w:type="dxa"/>
              <w:right w:w="120" w:type="dxa"/>
            </w:tcMar>
            <w:shd w:fill="F2F4F7"/>
          </w:tcPr>
          <w:p>
            <w:pPr>
              <w:spacing w:before="40" w:after="40"/>
            </w:pPr>
            <w:r>
              <w:rPr>
                <w:rFonts w:ascii="Calibri" w:hAnsi="Calibri"/>
                <w:color w:val="262626"/>
                <w:sz w:val="20"/>
              </w:rPr>
              <w:t>13</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`Domestic_Credit_GDP`</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-0.0185</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+0.0532</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**0.0717**</w:t>
            </w:r>
          </w:p>
        </w:tc>
        <w:tc>
          <w:tcPr>
            <w:tcW w:type="dxa" w:w="1170"/>
            <w:tcMar>
              <w:top w:w="100" w:type="dxa"/>
              <w:bottom w:w="100" w:type="dxa"/>
              <w:left w:w="120" w:type="dxa"/>
              <w:right w:w="120" w:type="dxa"/>
            </w:tcMar>
            <w:shd w:fill="F2F4F7"/>
          </w:tcPr>
          <w:p>
            <w:pPr>
              <w:spacing w:before="40" w:after="40"/>
            </w:pPr>
            <w:r>
              <w:rPr>
                <w:rFonts w:ascii="Calibri" w:hAnsi="Calibri"/>
                <w:color w:val="262626"/>
                <w:sz w:val="20"/>
              </w:rPr>
              <w:t>Gelembung atau pengetatan kredit.</w:t>
            </w:r>
          </w:p>
        </w:tc>
        <w:tc>
          <w:tcPr>
            <w:tcW w:type="dxa" w:w="1170"/>
          </w:tcPr>
          <w:p/>
        </w:tc>
        <w:tc>
          <w:tcPr>
            <w:tcW w:type="dxa" w:w="1170"/>
          </w:tcPr>
          <w:p/>
        </w:tc>
      </w:tr>
      <w:tr>
        <w:tc>
          <w:tcPr>
            <w:tcW w:type="dxa" w:w="1170"/>
            <w:tcMar>
              <w:top w:w="100" w:type="dxa"/>
              <w:bottom w:w="100" w:type="dxa"/>
              <w:left w:w="120" w:type="dxa"/>
              <w:right w:w="120" w:type="dxa"/>
            </w:tcMar>
          </w:tcPr>
          <w:p>
            <w:pPr>
              <w:spacing w:before="40" w:after="40"/>
            </w:pPr>
            <w:r>
              <w:rPr>
                <w:rFonts w:ascii="Calibri" w:hAnsi="Calibri"/>
                <w:color w:val="262626"/>
                <w:sz w:val="20"/>
              </w:rPr>
              <w:t>14</w:t>
            </w:r>
          </w:p>
        </w:tc>
        <w:tc>
          <w:tcPr>
            <w:tcW w:type="dxa" w:w="1170"/>
            <w:tcMar>
              <w:top w:w="100" w:type="dxa"/>
              <w:bottom w:w="100" w:type="dxa"/>
              <w:left w:w="120" w:type="dxa"/>
              <w:right w:w="120" w:type="dxa"/>
            </w:tcMar>
          </w:tcPr>
          <w:p>
            <w:pPr>
              <w:spacing w:before="40" w:after="40"/>
            </w:pPr>
            <w:r>
              <w:rPr>
                <w:rFonts w:ascii="Calibri" w:hAnsi="Calibri"/>
                <w:color w:val="262626"/>
                <w:sz w:val="20"/>
              </w:rPr>
              <w:t>`Unemployment`</w:t>
            </w:r>
          </w:p>
        </w:tc>
        <w:tc>
          <w:tcPr>
            <w:tcW w:type="dxa" w:w="1170"/>
            <w:tcMar>
              <w:top w:w="100" w:type="dxa"/>
              <w:bottom w:w="100" w:type="dxa"/>
              <w:left w:w="120" w:type="dxa"/>
              <w:right w:w="120" w:type="dxa"/>
            </w:tcMar>
          </w:tcPr>
          <w:p>
            <w:pPr>
              <w:spacing w:before="40" w:after="40"/>
            </w:pPr>
            <w:r>
              <w:rPr>
                <w:rFonts w:ascii="Calibri" w:hAnsi="Calibri"/>
                <w:color w:val="262626"/>
                <w:sz w:val="20"/>
              </w:rPr>
              <w:t>-0.0089</w:t>
            </w:r>
          </w:p>
        </w:tc>
        <w:tc>
          <w:tcPr>
            <w:tcW w:type="dxa" w:w="1170"/>
            <w:tcMar>
              <w:top w:w="100" w:type="dxa"/>
              <w:bottom w:w="100" w:type="dxa"/>
              <w:left w:w="120" w:type="dxa"/>
              <w:right w:w="120" w:type="dxa"/>
            </w:tcMar>
          </w:tcPr>
          <w:p>
            <w:pPr>
              <w:spacing w:before="40" w:after="40"/>
            </w:pPr>
            <w:r>
              <w:rPr>
                <w:rFonts w:ascii="Calibri" w:hAnsi="Calibri"/>
                <w:color w:val="262626"/>
                <w:sz w:val="20"/>
              </w:rPr>
              <w:t>+0.0256</w:t>
            </w:r>
          </w:p>
        </w:tc>
        <w:tc>
          <w:tcPr>
            <w:tcW w:type="dxa" w:w="1170"/>
            <w:tcMar>
              <w:top w:w="100" w:type="dxa"/>
              <w:bottom w:w="100" w:type="dxa"/>
              <w:left w:w="120" w:type="dxa"/>
              <w:right w:w="120" w:type="dxa"/>
            </w:tcMar>
          </w:tcPr>
          <w:p>
            <w:pPr>
              <w:spacing w:before="40" w:after="40"/>
            </w:pPr>
            <w:r>
              <w:rPr>
                <w:rFonts w:ascii="Calibri" w:hAnsi="Calibri"/>
                <w:color w:val="262626"/>
                <w:sz w:val="20"/>
              </w:rPr>
              <w:t>**0.0346**</w:t>
            </w:r>
          </w:p>
        </w:tc>
        <w:tc>
          <w:tcPr>
            <w:tcW w:type="dxa" w:w="1170"/>
            <w:tcMar>
              <w:top w:w="100" w:type="dxa"/>
              <w:bottom w:w="100" w:type="dxa"/>
              <w:left w:w="120" w:type="dxa"/>
              <w:right w:w="120" w:type="dxa"/>
            </w:tcMar>
          </w:tcPr>
          <w:p>
            <w:pPr>
              <w:spacing w:before="40" w:after="40"/>
            </w:pPr>
            <w:r>
              <w:rPr>
                <w:rFonts w:ascii="Calibri" w:hAnsi="Calibri"/>
                <w:color w:val="262626"/>
                <w:sz w:val="20"/>
              </w:rPr>
              <w:t>Respon tertinggal (*lagging*) pasar kerja.</w:t>
            </w:r>
          </w:p>
        </w:tc>
        <w:tc>
          <w:tcPr>
            <w:tcW w:type="dxa" w:w="1170"/>
          </w:tcPr>
          <w:p/>
        </w:tc>
        <w:tc>
          <w:tcPr>
            <w:tcW w:type="dxa" w:w="1170"/>
          </w:tcPr>
          <w:p/>
        </w:tc>
      </w:tr>
    </w:tbl>
    <w:p/>
    <w:p>
      <w:pPr>
        <w:spacing w:before="120" w:after="120"/>
        <w:pBdr>
          <w:bottom w:val="single" w:sz="6" w:space="1" w:color="CCCCCC"/>
        </w:pBdr>
      </w:pPr>
    </w:p>
    <w:p>
      <w:pPr>
        <w:keepNext/>
        <w:spacing w:before="280" w:after="120"/>
      </w:pPr>
      <w:r>
        <w:rPr>
          <w:rFonts w:ascii="Calibri" w:hAnsi="Calibri"/>
          <w:b/>
          <w:color w:val="2E5B88"/>
          <w:sz w:val="28"/>
        </w:rPr>
        <w:t>10. Keunggulan, Keterbatasan, &amp; Rekomendasi EWS</w:t>
      </w:r>
    </w:p>
    <w:p>
      <w:pPr>
        <w:keepNext/>
        <w:spacing w:before="200" w:after="80"/>
      </w:pPr>
      <w:r>
        <w:rPr>
          <w:rFonts w:ascii="Calibri" w:hAnsi="Calibri"/>
          <w:b/>
          <w:color w:val="333333"/>
          <w:sz w:val="24"/>
        </w:rPr>
        <w:t>10.1 Keunggulan Utama OC-SVM</w:t>
      </w:r>
    </w:p>
    <w:p>
      <w:pPr>
        <w:pStyle w:val="ListNumber"/>
        <w:spacing w:before="20" w:after="40"/>
      </w:pPr>
      <w:r/>
      <w:r>
        <w:rPr>
          <w:b/>
        </w:rPr>
        <w:t>Daya Deteksi Krisis Regional Sangat Tinggi</w:t>
      </w:r>
      <w:r>
        <w:t>: Meraih *recall* 70.0% pada Krisis Asia dan 60.0% pada Krisis Utang Eropa berkat kernel RBF non-linear.</w:t>
      </w:r>
    </w:p>
    <w:p>
      <w:pPr>
        <w:pStyle w:val="ListNumber"/>
        <w:spacing w:before="20" w:after="40"/>
      </w:pPr>
      <w:r/>
      <w:r>
        <w:rPr>
          <w:b/>
        </w:rPr>
        <w:t>Fleksibilitas Tanpa Asumsi Normalitas</w:t>
      </w:r>
      <w:r>
        <w:t>: Mampu mengisolasi pola ketidakseimbangan makroekonomi tanpa berasumsi bahwa data berdistribusi simetris atau terkluster secara linier.</w:t>
      </w:r>
    </w:p>
    <w:p>
      <w:pPr>
        <w:pStyle w:val="ListNumber"/>
        <w:spacing w:before="20" w:after="40"/>
      </w:pPr>
      <w:r/>
      <w:r>
        <w:rPr>
          <w:b/>
        </w:rPr>
        <w:t>Continuous Anomaly Scoring</w:t>
      </w:r>
      <w:r>
        <w:t>: Menghasilkan skor jarak kontinu (`decision_function`) yang dapat dijadikan *index warning level* (misal: Normal, Standby, Danger).</w:t>
      </w:r>
    </w:p>
    <w:p>
      <w:pPr>
        <w:keepNext/>
        <w:spacing w:before="200" w:after="80"/>
      </w:pPr>
      <w:r>
        <w:rPr>
          <w:rFonts w:ascii="Calibri" w:hAnsi="Calibri"/>
          <w:b/>
          <w:color w:val="333333"/>
          <w:sz w:val="24"/>
        </w:rPr>
        <w:t>10.2 Keterbatasan</w:t>
      </w:r>
    </w:p>
    <w:p>
      <w:pPr>
        <w:pStyle w:val="ListNumber"/>
        <w:spacing w:before="20" w:after="40"/>
      </w:pPr>
      <w:r/>
      <w:r>
        <w:rPr>
          <w:b/>
        </w:rPr>
        <w:t>Sensitivitas terhadap Structural Outliers</w:t>
      </w:r>
      <w:r>
        <w:t>: Negara dengan keterbukaan eksternal ekstrem (Singapura, Irlandia) cenderung terus-menerus terisolasi.</w:t>
      </w:r>
    </w:p>
    <w:p>
      <w:pPr>
        <w:pStyle w:val="ListNumber"/>
        <w:spacing w:before="20" w:after="40"/>
      </w:pPr>
      <w:r/>
      <w:r>
        <w:rPr>
          <w:b/>
        </w:rPr>
        <w:t>Sensitivitas Kernel Bandwidth ($\gamma$)</w:t>
      </w:r>
      <w:r>
        <w:t>: Perlu kalibrasi grid search yang cermat agar tidak terjadi *overfitting*.</w:t>
      </w:r>
    </w:p>
    <w:p>
      <w:pPr>
        <w:keepNext/>
        <w:spacing w:before="200" w:after="80"/>
      </w:pPr>
      <w:r>
        <w:rPr>
          <w:rFonts w:ascii="Calibri" w:hAnsi="Calibri"/>
          <w:b/>
          <w:color w:val="333333"/>
          <w:sz w:val="24"/>
        </w:rPr>
        <w:t>10.3 Rekomendasi Integrasi EWS Kelompok</w:t>
      </w:r>
    </w:p>
    <w:p>
      <w:pPr>
        <w:spacing w:before="40" w:after="80" w:line="276" w:lineRule="auto"/>
      </w:pPr>
      <w:r>
        <w:t xml:space="preserve">OC-SVM direkomendasikan menjadi salah satu dari 6 algoritma utama dalam mekanisme </w:t>
      </w:r>
      <w:r>
        <w:rPr>
          <w:b/>
        </w:rPr>
        <w:t>Majority Voting Ensemble (mufakat $\ge 3$ atau $4$ algoritma)</w:t>
      </w:r>
      <w:r>
        <w:t xml:space="preserve"> bersama Isolation Forest, LOF, Autoencoder, PCA, dan DBSCAN. Kombinasi ini akan menutupi kelemahan </w:t>
      </w:r>
      <w:r>
        <w:rPr>
          <w:i/>
        </w:rPr>
        <w:t>false alarm</w:t>
      </w:r>
      <w:r>
        <w:t xml:space="preserve"> struktural OC-SVM serta menghasilkan sistem EWS krisis yang sangat robust.</w:t>
      </w:r>
    </w:p>
    <w:p>
      <w:pPr>
        <w:spacing w:before="120" w:after="120"/>
        <w:pBdr>
          <w:bottom w:val="single" w:sz="6" w:space="1" w:color="CCCCCC"/>
        </w:pBdr>
      </w:pPr>
    </w:p>
    <w:p>
      <w:pPr>
        <w:keepNext/>
        <w:spacing w:before="280" w:after="120"/>
      </w:pPr>
      <w:r>
        <w:rPr>
          <w:rFonts w:ascii="Calibri" w:hAnsi="Calibri"/>
          <w:b/>
          <w:color w:val="2E5B88"/>
          <w:sz w:val="28"/>
        </w:rPr>
        <w:t>11. Daftar File Output</w:t>
      </w:r>
    </w:p>
    <w:p>
      <w:pPr>
        <w:spacing w:before="40" w:after="80" w:line="276" w:lineRule="auto"/>
      </w:pPr>
      <w:r>
        <w:t>Seluruh file hasil pemodelan dan laporan di folder [Virna](file:///e:/SEMESTER%206/DATMIN/Project%20UTS/ANALISIS-DETEKSI-ANOMALI-MAKROEKONOMI/Virna):</w:t>
      </w:r>
    </w:p>
    <w:tbl>
      <w:tblPr>
        <w:tblW w:type="auto" w:w="0"/>
        <w:jc w:val="center"/>
        <w:tblLook w:firstColumn="1" w:firstRow="1" w:lastColumn="0" w:lastRow="0" w:noHBand="0" w:noVBand="1" w:val="04A0"/>
        <w:tblBorders>
          <w:top w:val="single" w:sz="4" w:space="0" w:color="D3D3D3"/>
          <w:left w:val="none"/>
          <w:bottom w:val="single" w:sz="6" w:space="0" w:color="1F4E78"/>
          <w:right w:val="none"/>
          <w:insideH w:val="single" w:sz="4" w:space="0" w:color="D3D3D3"/>
          <w:insideV w:val="none"/>
        </w:tblBorders>
      </w:tblPr>
      <w:tblGrid>
        <w:gridCol w:w="4680"/>
        <w:gridCol w:w="4680"/>
      </w:tblGrid>
      <w:tr>
        <w:tc>
          <w:tcPr>
            <w:tcW w:type="dxa" w:w="4680"/>
            <w:tcMar>
              <w:top w:w="100" w:type="dxa"/>
              <w:bottom w:w="100" w:type="dxa"/>
              <w:left w:w="120" w:type="dxa"/>
              <w:right w:w="120" w:type="dxa"/>
            </w:tcMar>
            <w:shd w:fill="1F4E78"/>
          </w:tcPr>
          <w:p>
            <w:pPr>
              <w:spacing w:before="40" w:after="40"/>
            </w:pPr>
            <w:r>
              <w:rPr>
                <w:rFonts w:ascii="Calibri" w:hAnsi="Calibri"/>
                <w:b/>
                <w:color w:val="FFFFFF"/>
                <w:sz w:val="20"/>
              </w:rPr>
              <w:t>Nama Berkas</w:t>
            </w:r>
          </w:p>
        </w:tc>
        <w:tc>
          <w:tcPr>
            <w:tcW w:type="dxa" w:w="4680"/>
            <w:tcMar>
              <w:top w:w="100" w:type="dxa"/>
              <w:bottom w:w="100" w:type="dxa"/>
              <w:left w:w="120" w:type="dxa"/>
              <w:right w:w="120" w:type="dxa"/>
            </w:tcMar>
            <w:shd w:fill="1F4E78"/>
          </w:tcPr>
          <w:p>
            <w:pPr>
              <w:spacing w:before="40" w:after="40"/>
            </w:pPr>
            <w:r>
              <w:rPr>
                <w:rFonts w:ascii="Calibri" w:hAnsi="Calibri"/>
                <w:b/>
                <w:color w:val="FFFFFF"/>
                <w:sz w:val="20"/>
              </w:rPr>
              <w:t>Deskripsi Isi &amp; Format</w:t>
            </w:r>
          </w:p>
        </w:tc>
      </w:tr>
      <w:tr>
        <w:tc>
          <w:tcPr>
            <w:tcW w:type="dxa" w:w="4680"/>
            <w:tcMar>
              <w:top w:w="100" w:type="dxa"/>
              <w:bottom w:w="100" w:type="dxa"/>
              <w:left w:w="120" w:type="dxa"/>
              <w:right w:w="120" w:type="dxa"/>
            </w:tcMar>
            <w:shd w:fill="F2F4F7"/>
          </w:tcPr>
          <w:p>
            <w:pPr>
              <w:spacing w:before="40" w:after="40"/>
            </w:pPr>
            <w:r>
              <w:rPr>
                <w:rFonts w:ascii="Calibri" w:hAnsi="Calibri"/>
                <w:color w:val="262626"/>
                <w:sz w:val="20"/>
              </w:rPr>
              <w:t>[ocsvm.ipynb](file:///e:/SEMESTER%206/DATMIN/Project%20UTS/ANALISIS-DETEKSI-ANOMALI-MAKROEKONOMI/Virna/ocsvm.ipynb)</w:t>
            </w:r>
          </w:p>
        </w:tc>
        <w:tc>
          <w:tcPr>
            <w:tcW w:type="dxa" w:w="4680"/>
            <w:tcMar>
              <w:top w:w="100" w:type="dxa"/>
              <w:bottom w:w="100" w:type="dxa"/>
              <w:left w:w="120" w:type="dxa"/>
              <w:right w:w="120" w:type="dxa"/>
            </w:tcMar>
            <w:shd w:fill="F2F4F7"/>
          </w:tcPr>
          <w:p>
            <w:pPr>
              <w:spacing w:before="40" w:after="40"/>
            </w:pPr>
            <w:r>
              <w:rPr>
                <w:rFonts w:ascii="Calibri" w:hAnsi="Calibri"/>
                <w:color w:val="262626"/>
                <w:sz w:val="20"/>
              </w:rPr>
              <w:t>Jupyter Notebook interaktif utuh dari Preprocessing hingga OCSVM &amp; Grafik</w:t>
            </w:r>
          </w:p>
        </w:tc>
      </w:tr>
      <w:tr>
        <w:tc>
          <w:tcPr>
            <w:tcW w:type="dxa" w:w="4680"/>
            <w:tcMar>
              <w:top w:w="100" w:type="dxa"/>
              <w:bottom w:w="100" w:type="dxa"/>
              <w:left w:w="120" w:type="dxa"/>
              <w:right w:w="120" w:type="dxa"/>
            </w:tcMar>
          </w:tcPr>
          <w:p>
            <w:pPr>
              <w:spacing w:before="40" w:after="40"/>
            </w:pPr>
            <w:r>
              <w:rPr>
                <w:rFonts w:ascii="Calibri" w:hAnsi="Calibri"/>
                <w:color w:val="262626"/>
                <w:sz w:val="20"/>
              </w:rPr>
              <w:t>[laporan_ocsvm.docx](file:///e:/SEMESTER%206/DATMIN/Project%20UTS/ANALISIS-DETEKSI-ANOMALI-MAKROEKONOMI/Virna/laporan_ocsvm.docx)</w:t>
            </w:r>
          </w:p>
        </w:tc>
        <w:tc>
          <w:tcPr>
            <w:tcW w:type="dxa" w:w="4680"/>
            <w:tcMar>
              <w:top w:w="100" w:type="dxa"/>
              <w:bottom w:w="100" w:type="dxa"/>
              <w:left w:w="120" w:type="dxa"/>
              <w:right w:w="120" w:type="dxa"/>
            </w:tcMar>
          </w:tcPr>
          <w:p>
            <w:pPr>
              <w:spacing w:before="40" w:after="40"/>
            </w:pPr>
            <w:r>
              <w:rPr>
                <w:rFonts w:ascii="Calibri" w:hAnsi="Calibri"/>
                <w:color w:val="262626"/>
                <w:sz w:val="20"/>
              </w:rPr>
              <w:t>**Dokumen Word Laporan Komprehensif** (Styling Rapi &amp; Tabel Navy Blue)</w:t>
            </w:r>
          </w:p>
        </w:tc>
      </w:tr>
      <w:tr>
        <w:tc>
          <w:tcPr>
            <w:tcW w:type="dxa" w:w="4680"/>
            <w:tcMar>
              <w:top w:w="100" w:type="dxa"/>
              <w:bottom w:w="100" w:type="dxa"/>
              <w:left w:w="120" w:type="dxa"/>
              <w:right w:w="120" w:type="dxa"/>
            </w:tcMar>
            <w:shd w:fill="F2F4F7"/>
          </w:tcPr>
          <w:p>
            <w:pPr>
              <w:spacing w:before="40" w:after="40"/>
            </w:pPr>
            <w:r>
              <w:rPr>
                <w:rFonts w:ascii="Calibri" w:hAnsi="Calibri"/>
                <w:color w:val="262626"/>
                <w:sz w:val="20"/>
              </w:rPr>
              <w:t>[laporan_ocsvm.md](file:///e:/SEMESTER%206/DATMIN/Project%20UTS/ANALISIS-DETEKSI-ANOMALI-MAKROEKONOMI/Virna/laporan_ocsvm.md)</w:t>
            </w:r>
          </w:p>
        </w:tc>
        <w:tc>
          <w:tcPr>
            <w:tcW w:type="dxa" w:w="4680"/>
            <w:tcMar>
              <w:top w:w="100" w:type="dxa"/>
              <w:bottom w:w="100" w:type="dxa"/>
              <w:left w:w="120" w:type="dxa"/>
              <w:right w:w="120" w:type="dxa"/>
            </w:tcMar>
            <w:shd w:fill="F2F4F7"/>
          </w:tcPr>
          <w:p>
            <w:pPr>
              <w:spacing w:before="40" w:after="40"/>
            </w:pPr>
            <w:r>
              <w:rPr>
                <w:rFonts w:ascii="Calibri" w:hAnsi="Calibri"/>
                <w:color w:val="262626"/>
                <w:sz w:val="20"/>
              </w:rPr>
              <w:t>Versi Markdown Laporan Akademik Lengkap</w:t>
            </w:r>
          </w:p>
        </w:tc>
      </w:tr>
      <w:tr>
        <w:tc>
          <w:tcPr>
            <w:tcW w:type="dxa" w:w="4680"/>
            <w:tcMar>
              <w:top w:w="100" w:type="dxa"/>
              <w:bottom w:w="100" w:type="dxa"/>
              <w:left w:w="120" w:type="dxa"/>
              <w:right w:w="120" w:type="dxa"/>
            </w:tcMar>
          </w:tcPr>
          <w:p>
            <w:pPr>
              <w:spacing w:before="40" w:after="40"/>
            </w:pPr>
            <w:r>
              <w:rPr>
                <w:rFonts w:ascii="Calibri" w:hAnsi="Calibri"/>
                <w:color w:val="262626"/>
                <w:sz w:val="20"/>
              </w:rPr>
              <w:t>[run_ocsvm.py](file:///e:/SEMESTER%206/DATMIN/Project%20UTS/ANALISIS-DETEKSI-ANOMALI-MAKROEKONOMI/Virna/run_ocsvm.py)</w:t>
            </w:r>
          </w:p>
        </w:tc>
        <w:tc>
          <w:tcPr>
            <w:tcW w:type="dxa" w:w="4680"/>
            <w:tcMar>
              <w:top w:w="100" w:type="dxa"/>
              <w:bottom w:w="100" w:type="dxa"/>
              <w:left w:w="120" w:type="dxa"/>
              <w:right w:w="120" w:type="dxa"/>
            </w:tcMar>
          </w:tcPr>
          <w:p>
            <w:pPr>
              <w:spacing w:before="40" w:after="40"/>
            </w:pPr>
            <w:r>
              <w:rPr>
                <w:rFonts w:ascii="Calibri" w:hAnsi="Calibri"/>
                <w:color w:val="262626"/>
                <w:sz w:val="20"/>
              </w:rPr>
              <w:t>Script eksekusi Python alur mandiri</w:t>
            </w:r>
          </w:p>
        </w:tc>
      </w:tr>
      <w:tr>
        <w:tc>
          <w:tcPr>
            <w:tcW w:type="dxa" w:w="4680"/>
            <w:tcMar>
              <w:top w:w="100" w:type="dxa"/>
              <w:bottom w:w="100" w:type="dxa"/>
              <w:left w:w="120" w:type="dxa"/>
              <w:right w:w="120" w:type="dxa"/>
            </w:tcMar>
            <w:shd w:fill="F2F4F7"/>
          </w:tcPr>
          <w:p>
            <w:pPr>
              <w:spacing w:before="40" w:after="40"/>
            </w:pPr>
            <w:r>
              <w:rPr>
                <w:rFonts w:ascii="Calibri" w:hAnsi="Calibri"/>
                <w:color w:val="262626"/>
                <w:sz w:val="20"/>
              </w:rPr>
              <w:t>[data_cleaned_virna.csv](file:///e:/SEMESTER%206/DATMIN/Project%20UTS/ANALISIS-DETEKSI-ANOMALI-MAKROEKONOMI/Virna/data_cleaned_virna.csv)</w:t>
            </w:r>
          </w:p>
        </w:tc>
        <w:tc>
          <w:tcPr>
            <w:tcW w:type="dxa" w:w="4680"/>
            <w:tcMar>
              <w:top w:w="100" w:type="dxa"/>
              <w:bottom w:w="100" w:type="dxa"/>
              <w:left w:w="120" w:type="dxa"/>
              <w:right w:w="120" w:type="dxa"/>
            </w:tcMar>
            <w:shd w:fill="F2F4F7"/>
          </w:tcPr>
          <w:p>
            <w:pPr>
              <w:spacing w:before="40" w:after="40"/>
            </w:pPr>
            <w:r>
              <w:rPr>
                <w:rFonts w:ascii="Calibri" w:hAnsi="Calibri"/>
                <w:color w:val="262626"/>
                <w:sz w:val="20"/>
              </w:rPr>
              <w:t>Dataset bersih hasil preprocessing sebelum penskalaan</w:t>
            </w:r>
          </w:p>
        </w:tc>
      </w:tr>
      <w:tr>
        <w:tc>
          <w:tcPr>
            <w:tcW w:type="dxa" w:w="4680"/>
            <w:tcMar>
              <w:top w:w="100" w:type="dxa"/>
              <w:bottom w:w="100" w:type="dxa"/>
              <w:left w:w="120" w:type="dxa"/>
              <w:right w:w="120" w:type="dxa"/>
            </w:tcMar>
          </w:tcPr>
          <w:p>
            <w:pPr>
              <w:spacing w:before="40" w:after="40"/>
            </w:pPr>
            <w:r>
              <w:rPr>
                <w:rFonts w:ascii="Calibri" w:hAnsi="Calibri"/>
                <w:color w:val="262626"/>
                <w:sz w:val="20"/>
              </w:rPr>
              <w:t>[hasil_ocsvm.csv](file:///e:/SEMESTER%206/DATMIN/Project%20UTS/ANALISIS-DETEKSI-ANOMALI-MAKROEKONOMI/Virna/hasil_ocsvm.csv)</w:t>
            </w:r>
          </w:p>
        </w:tc>
        <w:tc>
          <w:tcPr>
            <w:tcW w:type="dxa" w:w="4680"/>
            <w:tcMar>
              <w:top w:w="100" w:type="dxa"/>
              <w:bottom w:w="100" w:type="dxa"/>
              <w:left w:w="120" w:type="dxa"/>
              <w:right w:w="120" w:type="dxa"/>
            </w:tcMar>
          </w:tcPr>
          <w:p>
            <w:pPr>
              <w:spacing w:before="40" w:after="40"/>
            </w:pPr>
            <w:r>
              <w:rPr>
                <w:rFonts w:ascii="Calibri" w:hAnsi="Calibri"/>
                <w:color w:val="262626"/>
                <w:sz w:val="20"/>
              </w:rPr>
              <w:t>Output deteksi OCSVM (`ocsvm_score` + `ocsvm_anomaly`)</w:t>
            </w:r>
          </w:p>
        </w:tc>
      </w:tr>
      <w:tr>
        <w:tc>
          <w:tcPr>
            <w:tcW w:type="dxa" w:w="4680"/>
            <w:tcMar>
              <w:top w:w="100" w:type="dxa"/>
              <w:bottom w:w="100" w:type="dxa"/>
              <w:left w:w="120" w:type="dxa"/>
              <w:right w:w="120" w:type="dxa"/>
            </w:tcMar>
            <w:shd w:fill="F2F4F7"/>
          </w:tcPr>
          <w:p>
            <w:pPr>
              <w:spacing w:before="40" w:after="40"/>
            </w:pPr>
            <w:r>
              <w:rPr>
                <w:rFonts w:ascii="Calibri" w:hAnsi="Calibri"/>
                <w:color w:val="262626"/>
                <w:sz w:val="20"/>
              </w:rPr>
              <w:t>[grid_search_ocsvm.csv](file:///e:/SEMESTER%206/DATMIN/Project%20UTS/ANALISIS-DETEKSI-ANOMALI-MAKROEKONOMI/Virna/grid_search_ocsvm.csv)</w:t>
            </w:r>
          </w:p>
        </w:tc>
        <w:tc>
          <w:tcPr>
            <w:tcW w:type="dxa" w:w="4680"/>
            <w:tcMar>
              <w:top w:w="100" w:type="dxa"/>
              <w:bottom w:w="100" w:type="dxa"/>
              <w:left w:w="120" w:type="dxa"/>
              <w:right w:w="120" w:type="dxa"/>
            </w:tcMar>
            <w:shd w:fill="F2F4F7"/>
          </w:tcPr>
          <w:p>
            <w:pPr>
              <w:spacing w:before="40" w:after="40"/>
            </w:pPr>
            <w:r>
              <w:rPr>
                <w:rFonts w:ascii="Calibri" w:hAnsi="Calibri"/>
                <w:color w:val="262626"/>
                <w:sz w:val="20"/>
              </w:rPr>
              <w:t>Hasil pencarian 64 kombinasi grid search `nu` &amp; `gamma`</w:t>
            </w:r>
          </w:p>
        </w:tc>
      </w:tr>
      <w:tr>
        <w:tc>
          <w:tcPr>
            <w:tcW w:type="dxa" w:w="4680"/>
            <w:tcMar>
              <w:top w:w="100" w:type="dxa"/>
              <w:bottom w:w="100" w:type="dxa"/>
              <w:left w:w="120" w:type="dxa"/>
              <w:right w:w="120" w:type="dxa"/>
            </w:tcMar>
          </w:tcPr>
          <w:p>
            <w:pPr>
              <w:spacing w:before="40" w:after="40"/>
            </w:pPr>
            <w:r>
              <w:rPr>
                <w:rFonts w:ascii="Calibri" w:hAnsi="Calibri"/>
                <w:color w:val="262626"/>
                <w:sz w:val="20"/>
              </w:rPr>
              <w:t>[ringkasan_model_ocsvm.csv](file:///e:/SEMESTER%206/DATMIN/Project%20UTS/ANALISIS-DETEKSI-ANOMALI-MAKROEKONOMI/Virna/ringkasan_model_ocsvm.csv)</w:t>
            </w:r>
          </w:p>
        </w:tc>
        <w:tc>
          <w:tcPr>
            <w:tcW w:type="dxa" w:w="4680"/>
            <w:tcMar>
              <w:top w:w="100" w:type="dxa"/>
              <w:bottom w:w="100" w:type="dxa"/>
              <w:left w:w="120" w:type="dxa"/>
              <w:right w:w="120" w:type="dxa"/>
            </w:tcMar>
          </w:tcPr>
          <w:p>
            <w:pPr>
              <w:spacing w:before="40" w:after="40"/>
            </w:pPr>
            <w:r>
              <w:rPr>
                <w:rFonts w:ascii="Calibri" w:hAnsi="Calibri"/>
                <w:color w:val="262626"/>
                <w:sz w:val="20"/>
              </w:rPr>
              <w:t>Ringkasan metrik evaluasi model terbaik</w:t>
            </w:r>
          </w:p>
        </w:tc>
      </w:tr>
      <w:tr>
        <w:tc>
          <w:tcPr>
            <w:tcW w:type="dxa" w:w="4680"/>
            <w:tcMar>
              <w:top w:w="100" w:type="dxa"/>
              <w:bottom w:w="100" w:type="dxa"/>
              <w:left w:w="120" w:type="dxa"/>
              <w:right w:w="120" w:type="dxa"/>
            </w:tcMar>
            <w:shd w:fill="F2F4F7"/>
          </w:tcPr>
          <w:p>
            <w:pPr>
              <w:spacing w:before="40" w:after="40"/>
            </w:pPr>
            <w:r>
              <w:rPr>
                <w:rFonts w:ascii="Calibri" w:hAnsi="Calibri"/>
                <w:color w:val="262626"/>
                <w:sz w:val="20"/>
              </w:rPr>
              <w:t>[deteksi_per_krisis_ocsvm.csv](file:///e:/SEMESTER%206/DATMIN/Project%20UTS/ANALISIS-DETEKSI-ANOMALI-MAKROEKONOMI/Virna/deteksi_per_krisis_ocsvm.csv)</w:t>
            </w:r>
          </w:p>
        </w:tc>
        <w:tc>
          <w:tcPr>
            <w:tcW w:type="dxa" w:w="4680"/>
            <w:tcMar>
              <w:top w:w="100" w:type="dxa"/>
              <w:bottom w:w="100" w:type="dxa"/>
              <w:left w:w="120" w:type="dxa"/>
              <w:right w:w="120" w:type="dxa"/>
            </w:tcMar>
            <w:shd w:fill="F2F4F7"/>
          </w:tcPr>
          <w:p>
            <w:pPr>
              <w:spacing w:before="40" w:after="40"/>
            </w:pPr>
            <w:r>
              <w:rPr>
                <w:rFonts w:ascii="Calibri" w:hAnsi="Calibri"/>
                <w:color w:val="262626"/>
                <w:sz w:val="20"/>
              </w:rPr>
              <w:t>Detection rate 6 krisis historis IMF</w:t>
            </w:r>
          </w:p>
        </w:tc>
      </w:tr>
      <w:tr>
        <w:tc>
          <w:tcPr>
            <w:tcW w:type="dxa" w:w="4680"/>
            <w:tcMar>
              <w:top w:w="100" w:type="dxa"/>
              <w:bottom w:w="100" w:type="dxa"/>
              <w:left w:w="120" w:type="dxa"/>
              <w:right w:w="120" w:type="dxa"/>
            </w:tcMar>
          </w:tcPr>
          <w:p>
            <w:pPr>
              <w:spacing w:before="40" w:after="40"/>
            </w:pPr>
            <w:r>
              <w:rPr>
                <w:rFonts w:ascii="Calibri" w:hAnsi="Calibri"/>
                <w:color w:val="262626"/>
                <w:sz w:val="20"/>
              </w:rPr>
              <w:t>[top_negara_anomali_ocsvm.csv](file:///e:/SEMESTER%206/DATMIN/Project%20UTS/ANALISIS-DETEKSI-ANOMALI-MAKROEKONOMI/Virna/top_negara_anomali_ocsvm.csv)</w:t>
            </w:r>
          </w:p>
        </w:tc>
        <w:tc>
          <w:tcPr>
            <w:tcW w:type="dxa" w:w="4680"/>
            <w:tcMar>
              <w:top w:w="100" w:type="dxa"/>
              <w:bottom w:w="100" w:type="dxa"/>
              <w:left w:w="120" w:type="dxa"/>
              <w:right w:w="120" w:type="dxa"/>
            </w:tcMar>
          </w:tcPr>
          <w:p>
            <w:pPr>
              <w:spacing w:before="40" w:after="40"/>
            </w:pPr>
            <w:r>
              <w:rPr>
                <w:rFonts w:ascii="Calibri" w:hAnsi="Calibri"/>
                <w:color w:val="262626"/>
                <w:sz w:val="20"/>
              </w:rPr>
              <w:t>Top 10 negara frekuensi anomali terbanyak</w:t>
            </w:r>
          </w:p>
        </w:tc>
      </w:tr>
      <w:tr>
        <w:tc>
          <w:tcPr>
            <w:tcW w:type="dxa" w:w="4680"/>
            <w:tcMar>
              <w:top w:w="100" w:type="dxa"/>
              <w:bottom w:w="100" w:type="dxa"/>
              <w:left w:w="120" w:type="dxa"/>
              <w:right w:w="120" w:type="dxa"/>
            </w:tcMar>
            <w:shd w:fill="F2F4F7"/>
          </w:tcPr>
          <w:p>
            <w:pPr>
              <w:spacing w:before="40" w:after="40"/>
            </w:pPr>
            <w:r>
              <w:rPr>
                <w:rFonts w:ascii="Calibri" w:hAnsi="Calibri"/>
                <w:color w:val="262626"/>
                <w:sz w:val="20"/>
              </w:rPr>
              <w:t>[feature_importance_ocsvm.csv](file:///e:/SEMESTER%206/DATMIN/Project%20UTS/ANALISIS-DETEKSI-ANOMALI-MAKROEKONOMI/Virna/feature_importance_ocsvm.csv)</w:t>
            </w:r>
          </w:p>
        </w:tc>
        <w:tc>
          <w:tcPr>
            <w:tcW w:type="dxa" w:w="4680"/>
            <w:tcMar>
              <w:top w:w="100" w:type="dxa"/>
              <w:bottom w:w="100" w:type="dxa"/>
              <w:left w:w="120" w:type="dxa"/>
              <w:right w:w="120" w:type="dxa"/>
            </w:tcMar>
            <w:shd w:fill="F2F4F7"/>
          </w:tcPr>
          <w:p>
            <w:pPr>
              <w:spacing w:before="40" w:after="40"/>
            </w:pPr>
            <w:r>
              <w:rPr>
                <w:rFonts w:ascii="Calibri" w:hAnsi="Calibri"/>
                <w:color w:val="262626"/>
                <w:sz w:val="20"/>
              </w:rPr>
              <w:t>Peringkat kontribusi 14 indikator</w:t>
            </w:r>
          </w:p>
        </w:tc>
      </w:tr>
    </w:tbl>
    <w:p/>
    <w:p>
      <w:pPr>
        <w:spacing w:before="120" w:after="120"/>
        <w:pBdr>
          <w:bottom w:val="single" w:sz="6" w:space="1" w:color="CCCCCC"/>
        </w:pBdr>
      </w:pPr>
    </w:p>
    <w:p>
      <w:pPr>
        <w:keepNext/>
        <w:spacing w:before="280" w:after="120"/>
      </w:pPr>
      <w:r>
        <w:rPr>
          <w:rFonts w:ascii="Calibri" w:hAnsi="Calibri"/>
          <w:b/>
          <w:color w:val="2E5B88"/>
          <w:sz w:val="28"/>
        </w:rPr>
        <w:t>12. Referensi Ilmiah</w:t>
      </w:r>
    </w:p>
    <w:p>
      <w:pPr>
        <w:pStyle w:val="ListNumber"/>
        <w:spacing w:before="20" w:after="40"/>
      </w:pPr>
      <w:r>
        <w:t>Schölkopf, B., Platt, J. C., Shawe-Taylor, J., Smola, A. J., &amp; Williamson, R. C. (2001). Estimating the Support of a High-Dimensional Distribution. *Neural Computation*, 13(7), 1443–1471. https://doi.org/10.1162/089976601750264965</w:t>
      </w:r>
    </w:p>
    <w:p>
      <w:pPr>
        <w:pStyle w:val="ListNumber"/>
        <w:spacing w:before="20" w:after="40"/>
      </w:pPr>
      <w:r>
        <w:t>Tax, D. M., &amp; Duin, R. P. (2004). Support Vector Data Description. *Machine Learning*, 54(1), 45–66. https://doi.org/10.1023/B:MACH.0000008084.60811.49</w:t>
      </w:r>
    </w:p>
    <w:p>
      <w:pPr>
        <w:pStyle w:val="ListNumber"/>
        <w:spacing w:before="20" w:after="40"/>
      </w:pPr>
      <w:r>
        <w:t>Chandola, V., Banerjee, A., &amp; Kumar, V. (2009). Anomaly Detection: A Survey. *ACM Computing Surveys*, 41(3), 1–58. https://doi.org/10.1145/1541880.1541882</w:t>
      </w:r>
    </w:p>
    <w:p>
      <w:pPr>
        <w:pStyle w:val="ListNumber"/>
        <w:spacing w:before="20" w:after="40"/>
      </w:pPr>
      <w:r>
        <w:t>Kaminsky, G., Lizondo, S., &amp; Reinhart, C. M. (1998). Leading indicators of currency crises. *IMF Staff Papers*, 45(1), 1–48. International Monetary Fund.</w:t>
      </w:r>
    </w:p>
    <w:p>
      <w:pPr>
        <w:pStyle w:val="ListNumber"/>
        <w:spacing w:before="20" w:after="40"/>
      </w:pPr>
      <w:r>
        <w:t>Laeven, L., &amp; Valencia, F. (2018). Systemic banking crises revisited. *IMF Working Paper*, WP/18/206. International Monetary Fund. https://doi.org/10.5089/9781484376379.001</w:t>
      </w:r>
    </w:p>
    <w:p>
      <w:pPr>
        <w:pStyle w:val="ListNumber"/>
        <w:spacing w:before="20" w:after="40"/>
      </w:pPr>
      <w:r>
        <w:t>Reinhart, C. M., &amp; Rogoff, K. S. (2009). *This Time Is Different: Eight Centuries of Financial Folly*. Princeton University Press.</w:t>
      </w:r>
    </w:p>
    <w:p>
      <w:pPr>
        <w:pStyle w:val="ListNumber"/>
        <w:spacing w:before="20" w:after="40"/>
      </w:pPr>
      <w:r>
        <w:t>Pedregosa, F., et al. (2011). Scikit-learn: Machine Learning in Python. *Journal of Machine Learning Research*, 12, 2825–2830.</w:t>
      </w:r>
    </w:p>
    <w:p>
      <w:pPr>
        <w:spacing w:before="120" w:after="120"/>
        <w:pBdr>
          <w:bottom w:val="single" w:sz="6" w:space="1" w:color="CCCCCC"/>
        </w:pBdr>
      </w:pPr>
    </w:p>
    <w:p>
      <w:pPr>
        <w:spacing w:before="40" w:after="80" w:line="276" w:lineRule="auto"/>
      </w:pPr>
      <w:r/>
      <w:r>
        <w:rPr>
          <w:i/>
        </w:rPr>
        <w:t>Laporan Akademik Komprehensif — UTS Data Mining 2026.</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