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i w:val="0"/>
          <w:color w:val="1E293B"/>
          <w:sz w:val="48"/>
        </w:rPr>
        <w:t>INTEGRATION SPECIFICATION</w:t>
      </w:r>
    </w:p>
    <w:p>
      <w:pPr>
        <w:spacing w:after="480"/>
      </w:pPr>
      <w:r>
        <w:rPr>
          <w:rFonts w:ascii="Segoe UI" w:hAnsi="Segoe UI"/>
          <w:b w:val="0"/>
          <w:i/>
          <w:color w:val="475569"/>
          <w:sz w:val="28"/>
        </w:rPr>
        <w:t>Multi-Location IntaSend M-Pesa Webhook Engine &amp; Reconciliation Holding Pool</w:t>
      </w:r>
    </w:p>
    <w:p>
      <w:pPr>
        <w:spacing w:after="480"/>
        <w:pBdr>
          <w:bottom w:val="single" w:sz="12" w:space="1" w:color="0EA5E9"/>
        </w:pBdr>
      </w:pPr>
    </w:p>
    <w:p>
      <w:pPr>
        <w:keepNext/>
        <w:spacing w:before="360" w:after="120"/>
        <w:pBdr>
          <w:bottom w:val="single" w:sz="6" w:space="1" w:color="CCCCCC"/>
        </w:pBdr>
      </w:pPr>
      <w:r>
        <w:rPr>
          <w:rFonts w:ascii="Segoe UI" w:hAnsi="Segoe UI"/>
          <w:b/>
          <w:i w:val="0"/>
          <w:color w:val="1E293B"/>
          <w:sz w:val="32"/>
        </w:rPr>
        <w:t>1. Functional Objective &amp; Overview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This technical integration brief outlines the deployment of a real-time, zero-click automation solution to process Lipa Na M-Pesa customer payments inside Ultimate POS (Laravel-based system) via the IntaSend payment gateway core APIs. This architecture seamlessly links customer transaction flows across a multi-tenant business environment containing multiple physical brick-and-mortar storefronts, each utilizing unique Till numbers or designated payment checkout links.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Key Automated Lifecycles: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Multi-Store Isolation: </w:t>
      </w:r>
      <w:r>
        <w:rPr>
          <w:rFonts w:ascii="Calibri" w:hAnsi="Calibri"/>
          <w:b w:val="0"/>
          <w:i w:val="0"/>
          <w:color w:val="334155"/>
          <w:sz w:val="22"/>
        </w:rPr>
        <w:t>Dynamically routes incoming customer transactions to their respective physical retail business locations dynamically via background Webhook inspection.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Payment-Link Auto-Matching: </w:t>
      </w:r>
      <w:r>
        <w:rPr>
          <w:rFonts w:ascii="Calibri" w:hAnsi="Calibri"/>
          <w:b w:val="0"/>
          <w:i w:val="0"/>
          <w:color w:val="334155"/>
          <w:sz w:val="22"/>
        </w:rPr>
        <w:t>If an invoice reference or customer token is passed within an IntaSend payment link, the system executes real-time background ledger settlement rules.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Phone Number Auto-Lining Fallback: </w:t>
      </w:r>
      <w:r>
        <w:rPr>
          <w:rFonts w:ascii="Calibri" w:hAnsi="Calibri"/>
          <w:b w:val="0"/>
          <w:i w:val="0"/>
          <w:color w:val="334155"/>
          <w:sz w:val="22"/>
        </w:rPr>
        <w:t>If a customer pays directly via a printed storefront counter Till number, the webhook processor extracts the incoming phone line metadata and auto-matches it against active debtor files inside the system.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Unassigned Isolation Holding Pool: </w:t>
      </w:r>
      <w:r>
        <w:rPr>
          <w:rFonts w:ascii="Calibri" w:hAnsi="Calibri"/>
          <w:b w:val="0"/>
          <w:i w:val="0"/>
          <w:color w:val="334155"/>
          <w:sz w:val="22"/>
        </w:rPr>
        <w:t>Transactions from unrecognized numbers or complex payment contexts are seamlessly piped into a dedicated ledger buffer to prevent transaction dropping.</w:t>
      </w:r>
    </w:p>
    <w:p>
      <w:pPr>
        <w:keepNext/>
        <w:spacing w:before="360" w:after="120"/>
        <w:pBdr>
          <w:bottom w:val="single" w:sz="6" w:space="1" w:color="CCCCCC"/>
        </w:pBdr>
      </w:pPr>
      <w:r>
        <w:rPr>
          <w:rFonts w:ascii="Segoe UI" w:hAnsi="Segoe UI"/>
          <w:b/>
          <w:i w:val="0"/>
          <w:color w:val="1E293B"/>
          <w:sz w:val="32"/>
        </w:rPr>
        <w:t>2. Relational System Data Flow Architecture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operational layout below describes the lifecycle of an asset-clearing background message from the customer's phone down to database settlement paths: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[Customer Pays via Counter Till OR Dynamic Payment Link]</w:t>
              <w:br/>
              <w:t xml:space="preserve">                          │</w:t>
              <w:br/>
              <w:t xml:space="preserve">                          ▼</w:t>
              <w:br/>
              <w:t>[Safaricom Infrastructure Core] ──► [IntaSend Merchant Wallet Engine]</w:t>
              <w:br/>
              <w:t xml:space="preserve">                                                      │</w:t>
              <w:br/>
              <w:t xml:space="preserve">                                                      ▼ (Fires Secure Webhook JSON Payload)</w:t>
              <w:br/>
              <w:t xml:space="preserve">                                            [POST: /intasend/webhook]</w:t>
              <w:br/>
              <w:t xml:space="preserve">                                                      │</w:t>
              <w:br/>
              <w:t xml:space="preserve">                                                      ▼</w:t>
              <w:br/>
              <w:t xml:space="preserve">                                        [Ultimate POS Routing Controller]</w:t>
              <w:br/>
              <w:t xml:space="preserve">                                                      │</w:t>
              <w:br/>
              <w:t xml:space="preserve">             ┌────────────────────────────────────────┴────────────────────────────────────────┐</w:t>
              <w:br/>
              <w:t xml:space="preserve">             ▼ (Path A: Tracking Ref Present)                                                  ▼ (Path B: Direct Till / Code-less Entry)</w:t>
              <w:br/>
              <w:t xml:space="preserve">    [Verify api_ref Match]                                                            [Inspect Inbound Mobile Line Identification]</w:t>
              <w:br/>
              <w:t xml:space="preserve">             │                                                                                 │</w:t>
              <w:br/>
              <w:t xml:space="preserve">             ├───► Found Unique Match? ──► [YES] ──► [Auto-Liquidate Balance via Core Utilities]</w:t>
              <w:br/>
              <w:t xml:space="preserve">             │                                │</w:t>
              <w:br/>
              <w:t xml:space="preserve">             │                                └──► [NO] ──► [Route to Unassigned Holding Pool Table]</w:t>
              <w:br/>
              <w:t xml:space="preserve">             ▼</w:t>
              <w:br/>
              <w:t xml:space="preserve">   [Mark Record As Consolidated (is_attached = true)]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6" w:space="1" w:color="CCCCCC"/>
        </w:pBdr>
      </w:pPr>
      <w:r>
        <w:rPr>
          <w:rFonts w:ascii="Segoe UI" w:hAnsi="Segoe UI"/>
          <w:b/>
          <w:i w:val="0"/>
          <w:color w:val="1E293B"/>
          <w:sz w:val="32"/>
        </w:rPr>
        <w:t>3. Database Schema Layout Specifications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Your developer must create the migrations for the following custom tables to hold integration profiles dynamically without altering foundational multi-location config loops: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Table A: Configuration Settings Engine (intasend_settings)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Stores public profiles and dynamic access tokens per physical location profile.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Schema::create('intasend_settings', function (Blueprint $table) {</w:t>
              <w:br/>
              <w:t xml:space="preserve">    $table-&gt;id();</w:t>
              <w:br/>
              <w:t xml:space="preserve">    $table-&gt;unsignedInteger('business_location_id')-&gt;unique(); // Links to native ultimate POS business_locations.id</w:t>
              <w:br/>
              <w:t xml:space="preserve">    $table-&gt;string('till_or_paybill_number')-&gt;nullable();     // The physical M-Pesa Merchant Shortcode (e.g., 4012345)</w:t>
              <w:br/>
              <w:t xml:space="preserve">    $table-&gt;string('intasend_public_key')-&gt;nullable();        // Public Token credential profile (ISPubKey_live_...)</w:t>
              <w:br/>
              <w:t xml:space="preserve">    $table-&gt;string('intasend_secret_key')-&gt;nullable();        // Core Private Signature profile (ISSecretKey_live_...)</w:t>
              <w:br/>
              <w:t xml:space="preserve">    $table-&gt;string('payment_link_url')-&gt;nullable();           // Branch-specific static payment template target URL</w:t>
              <w:br/>
              <w:t xml:space="preserve">    $table-&gt;timestamps();</w:t>
              <w:br/>
              <w:t>});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Table B: Inbound Payment Buffer Lake (intasend_payments)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Serves as the multi-tenant real-time holding layer for structural mapping before settlement distribution.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Schema::create('intasend_payments', function (Blueprint $table) {</w:t>
              <w:br/>
              <w:t xml:space="preserve">    $table-&gt;id();</w:t>
              <w:br/>
              <w:t xml:space="preserve">    $table-&gt;unsignedInteger('business_location_id')-&gt;nullable(); // Resolved location association mapping context</w:t>
              <w:br/>
              <w:t xml:space="preserve">    $table-&gt;string('till_number')-&gt;nullable();                  // Hardware Identifier tracking incoming source</w:t>
              <w:br/>
              <w:t xml:space="preserve">    $table-&gt;string('transaction_code')-&gt;unique();                // Safaricom Reference (e.g. QJB123XYZ) - Idempotency Lock</w:t>
              <w:br/>
              <w:t xml:space="preserve">    $table-&gt;string('phone_number');                              // Payee identity metadata string (e.g. 254712345678)</w:t>
              <w:br/>
              <w:t xml:space="preserve">    $table-&gt;decimal('amount', 22, 4);                            // Preserves Ultimate POS ledger standard float precision</w:t>
              <w:br/>
              <w:t xml:space="preserve">    $table-&gt;string('status');                                    // Inbound transaction current state (Expecting: 'COMPLETE')</w:t>
              <w:br/>
              <w:t xml:space="preserve">    $table-&gt;string('api_ref')-&gt;nullable();                       // Embedded custom data tracking token (e.g. customer_id_X)</w:t>
              <w:br/>
              <w:t xml:space="preserve">    $table-&gt;boolean('is_attached')-&gt;default(false);              // Tracks consumption state by individual client ledgers</w:t>
              <w:br/>
              <w:t xml:space="preserve">    $table-&gt;timestamps();</w:t>
              <w:br/>
              <w:br/>
              <w:t xml:space="preserve">    $table-&gt;index(['business_location_id', 'is_attached']);</w:t>
              <w:br/>
              <w:t>});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6" w:space="1" w:color="CCCCCC"/>
        </w:pBdr>
      </w:pPr>
      <w:r>
        <w:rPr>
          <w:rFonts w:ascii="Segoe UI" w:hAnsi="Segoe UI"/>
          <w:b/>
          <w:i w:val="0"/>
          <w:color w:val="1E293B"/>
          <w:sz w:val="32"/>
        </w:rPr>
        <w:t>4. Core Webhook Logic &amp; Implementation Blueprint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webhook processing endpoint logic below handles verification parsing, dynamic multi-tenant scope assignment, link tracking auto-matching, and phone-record balance auto-lining execution rules.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Step 1: Disable CSRF Pipeline Checks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In app/Http/Middleware/VerifyCsrfToken.php, register the dynamic payload ingest route within the exception array layer to prevent endpoint blockages: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protected $except = [</w:t>
              <w:br/>
              <w:t xml:space="preserve">    'intasend/webhook',</w:t>
              <w:br/>
              <w:t>];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Step 2: Controller Engine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namespace App\Http\Controllers;</w:t>
              <w:br/>
              <w:br/>
              <w:t>use Illuminate\Http\Request;</w:t>
              <w:br/>
              <w:t>use Illuminate\Support\Facades\DB;</w:t>
              <w:br/>
              <w:t>use Illuminate\Support\Facades\Log;</w:t>
              <w:br/>
              <w:br/>
              <w:t>class IntaSendWebhookController extends Controller</w:t>
              <w:br/>
              <w:t>{</w:t>
              <w:br/>
              <w:t xml:space="preserve">    public function handleWebhook(Request $request)</w:t>
              <w:br/>
              <w:t xml:space="preserve">    {</w:t>
              <w:br/>
              <w:t xml:space="preserve">        Log::info('IntaSend Incoming Real-Time Engine Ingest Triggered:', $request-&gt;all());</w:t>
              <w:br/>
              <w:br/>
              <w:t xml:space="preserve">        // Challenge handling routine for secure initialization verification loops</w:t>
              <w:br/>
              <w:t xml:space="preserve">        if ($request-&gt;has('challenge')) {</w:t>
              <w:br/>
              <w:t xml:space="preserve">            return response()-&gt;json(['challenge' =&gt; $request-&gt;input('challenge')], 200);</w:t>
              <w:br/>
              <w:t xml:space="preserve">        }</w:t>
              <w:br/>
              <w:br/>
              <w:t xml:space="preserve">        // Standardize normalization paths for IntaSend key formats</w:t>
              <w:br/>
              <w:t xml:space="preserve">        $state = $request-&gt;input('state');</w:t>
              <w:br/>
              <w:t xml:space="preserve">        $mpesaCode = $request-&gt;input('mpesa_reference') ?? $request-&gt;input('provider_reference');</w:t>
              <w:br/>
              <w:t xml:space="preserve">        $amount = $request-&gt;input('net_amount');</w:t>
              <w:br/>
              <w:t xml:space="preserve">        $phoneNumber = $request-&gt;input('account');</w:t>
              <w:br/>
              <w:t xml:space="preserve">        $apiRef = $request-&gt;input('api_ref');</w:t>
              <w:br/>
              <w:t xml:space="preserve">        $tillNumber = $request-&gt;input('till_identifier') ?? $request-&gt;input('metadata.till_number');</w:t>
              <w:br/>
              <w:br/>
              <w:t xml:space="preserve">        if ($state !== 'COMPLETE' || empty($mpesaCode)) {</w:t>
              <w:br/>
              <w:t xml:space="preserve">            return response()-&gt;json(['status' =&gt; 'ignored', 'reason' =&gt; 'Non-actionable transaction status.'], 200);</w:t>
              <w:br/>
              <w:t xml:space="preserve">        }</w:t>
              <w:br/>
              <w:br/>
              <w:t xml:space="preserve">        // 1. Dynamic Tenant-Location Resolution Engine</w:t>
              <w:br/>
              <w:t xml:space="preserve">        $config = DB::table('intasend_settings')-&gt;where('till_or_paybill_number', $tillNumber)-&gt;first();</w:t>
              <w:br/>
              <w:t xml:space="preserve">        $businessLocationId = $config ? $config-&gt;business_location_id : null;</w:t>
              <w:br/>
              <w:br/>
              <w:t xml:space="preserve">        try {</w:t>
              <w:br/>
              <w:t xml:space="preserve">            // Strict Idempotency Lock validation check</w:t>
              <w:br/>
              <w:t xml:space="preserve">            $isDuplicate = DB::table('intasend_payments')-&gt;where('transaction_code', $mpesaCode)-&gt;exists();</w:t>
              <w:br/>
              <w:t xml:space="preserve">            if ($isDuplicate) {</w:t>
              <w:br/>
              <w:t xml:space="preserve">                return response()-&gt;json(['status' =&gt; 'duplicate_ignored'], 200);</w:t>
              <w:br/>
              <w:t xml:space="preserve">            }</w:t>
              <w:br/>
              <w:br/>
              <w:t xml:space="preserve">            $isAttached = false;</w:t>
              <w:br/>
              <w:t xml:space="preserve">            $matchedCustomerId = null;</w:t>
              <w:br/>
              <w:br/>
              <w:t xml:space="preserve">            // ROUTING ROUTINE PATH 1: Direct Link URL Tracking Interceptor (Highest Priority)</w:t>
              <w:br/>
              <w:t xml:space="preserve">            if (!empty($apiRef) &amp;&amp; str_contains($apiRef, 'customer_id_')) {</w:t>
              <w:br/>
              <w:t xml:space="preserve">                $matchedCustomerId = (int) str_replace('customer_id_', '', $apiRef);</w:t>
              <w:br/>
              <w:t xml:space="preserve">                $isAttached = true;</w:t>
              <w:br/>
              <w:t xml:space="preserve">            } </w:t>
              <w:br/>
              <w:t xml:space="preserve">            // ROUTING ROUTINE PATH 2: Phone Auto-Matching Engine Fallback (Direct Over-the-Air Store Till Entry)</w:t>
              <w:br/>
              <w:t xml:space="preserve">            elseif (!empty($phoneNumber)) {</w:t>
              <w:br/>
              <w:t xml:space="preserve">                // Uniform normalization step for Kenyan mobile line variations</w:t>
              <w:br/>
              <w:t xml:space="preserve">                $formattedPhone = $phoneNumber;</w:t>
              <w:br/>
              <w:t xml:space="preserve">                if (str_starts_with($phoneNumber, '254')) {</w:t>
              <w:br/>
              <w:t xml:space="preserve">                    $formattedPhone = '0' . substr($phoneNumber, 3);</w:t>
              <w:br/>
              <w:t xml:space="preserve">                }</w:t>
              <w:br/>
              <w:br/>
              <w:t xml:space="preserve">                // Query system contacts table mapping schema parameters</w:t>
              <w:br/>
              <w:t xml:space="preserve">                $matchingCustomer = DB::table('contacts')</w:t>
              <w:br/>
              <w:t xml:space="preserve">                    -&gt;where('type', 'customer')</w:t>
              <w:br/>
              <w:t xml:space="preserve">                    -&gt;where(function($query) use ($phoneNumber, $formattedPhone) {</w:t>
              <w:br/>
              <w:t xml:space="preserve">                        $query-&gt;where('mobile', $phoneNumber)</w:t>
              <w:br/>
              <w:t xml:space="preserve">                              -&gt;orWhere('mobile', $formattedPhone)</w:t>
              <w:br/>
              <w:t xml:space="preserve">                              -&gt;orWhere('contact_id', $phoneNumber);</w:t>
              <w:br/>
              <w:t xml:space="preserve">                    })-&gt;first();</w:t>
              <w:br/>
              <w:br/>
              <w:t xml:space="preserve">                if ($matchingCustomer) {</w:t>
              <w:br/>
              <w:t xml:space="preserve">                    $matchedCustomerId = $matchingCustomer-&gt;id;</w:t>
              <w:br/>
              <w:br/>
              <w:t xml:space="preserve">                    // Validate active balance position before executing automatic clearance routines</w:t>
              <w:br/>
              <w:t xml:space="preserve">                    $totalDue = DB::table('transactions')</w:t>
              <w:br/>
              <w:t xml:space="preserve">                        -&gt;where('contact_id', $matchedCustomerId)</w:t>
              <w:br/>
              <w:t xml:space="preserve">                        -&gt;where('status', 'final')</w:t>
              <w:br/>
              <w:t xml:space="preserve">                        -&gt;sum('final_total') - DB::table('transaction_payments')-&gt;where('contact_id', $matchedCustomerId)-&gt;sum('amount');</w:t>
              <w:br/>
              <w:br/>
              <w:t xml:space="preserve">                    if ($totalDue &gt; 0) {</w:t>
              <w:br/>
              <w:t xml:space="preserve">                        $isAttached = true;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br/>
              <w:t xml:space="preserve">            // 2. Automated Sinking Engine Link Integration Execution</w:t>
              <w:br/>
              <w:t xml:space="preserve">            if ($isAttached &amp;&amp; !empty($matchedCustomerId)) {</w:t>
              <w:br/>
              <w:t xml:space="preserve">                // DEVELOPER SYSTEM BRIDGE NOTICE:</w:t>
              <w:br/>
              <w:t xml:space="preserve">                // Integrate directly into Ultimate POS Core Helper Service Classes here.</w:t>
              <w:br/>
              <w:t xml:space="preserve">                // Example System Execution Blueprint:</w:t>
              <w:br/>
              <w:t xml:space="preserve">                // app('App\Utils\TransactionUtil')-&gt;payCustomerLedger($matchedCustomerId, $amount, $mpesaCode, $businessLocationId);</w:t>
              <w:br/>
              <w:t xml:space="preserve">                Log::info("Auto-Settlement Sunk: Balanced Customer ID: {$matchedCustomerId} via Ingest Automation.");</w:t>
              <w:br/>
              <w:t xml:space="preserve">            }</w:t>
              <w:br/>
              <w:br/>
              <w:t xml:space="preserve">            // 3. Commit Transaction Ledger Payload Record Entry to Lake</w:t>
              <w:br/>
              <w:t xml:space="preserve">            DB::table('intasend_payments')-&gt;insert([</w:t>
              <w:br/>
              <w:t xml:space="preserve">                'business_location_id' =&gt; $businessLocationId,</w:t>
              <w:br/>
              <w:t xml:space="preserve">                'till_number'          =&gt; $tillNumber,</w:t>
              <w:br/>
              <w:t xml:space="preserve">                'transaction_code'     =&gt; $mpesaCode,</w:t>
              <w:br/>
              <w:t xml:space="preserve">                'phone_number'         =&gt; $phoneNumber,</w:t>
              <w:br/>
              <w:t xml:space="preserve">                'amount'               =&gt; $amount,</w:t>
              <w:br/>
              <w:t xml:space="preserve">                'status'               =&gt; $state,</w:t>
              <w:br/>
              <w:t xml:space="preserve">                'api_ref'              =&gt; $apiRef,</w:t>
              <w:br/>
              <w:t xml:space="preserve">                'is_attached'          =&gt; $isAttached,</w:t>
              <w:br/>
              <w:t xml:space="preserve">                'created_at'           =&gt; now(),</w:t>
              <w:br/>
              <w:t xml:space="preserve">                'updated_at'           =&gt; now(),</w:t>
              <w:br/>
              <w:t xml:space="preserve">            ]);</w:t>
              <w:br/>
              <w:br/>
              <w:t xml:space="preserve">            return response()-&gt;json([</w:t>
              <w:br/>
              <w:t xml:space="preserve">                'status' =&gt; 'success',</w:t>
              <w:br/>
              <w:t xml:space="preserve">                'auto_reconciled' =&gt; $isAttached,</w:t>
              <w:br/>
              <w:t xml:space="preserve">                'mapped_customer' =&gt; $matchedCustomerId</w:t>
              <w:br/>
              <w:t xml:space="preserve">            ], 200);</w:t>
              <w:br/>
              <w:br/>
              <w:t xml:space="preserve">        } catch (\Exception $e) {</w:t>
              <w:br/>
              <w:t xml:space="preserve">            Log::error('IntaSend Core Event Exceptions Logging Profile: ' . $e-&gt;getMessage());</w:t>
              <w:br/>
              <w:t xml:space="preserve">            return response()-&gt;json(['status' =&gt; 'error'], 500);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6" w:space="1" w:color="CCCCCC"/>
        </w:pBdr>
      </w:pPr>
      <w:r>
        <w:rPr>
          <w:rFonts w:ascii="Segoe UI" w:hAnsi="Segoe UI"/>
          <w:b/>
          <w:i w:val="0"/>
          <w:color w:val="1E293B"/>
          <w:sz w:val="32"/>
        </w:rPr>
        <w:t>5. Administrative Frontend Interface Design Patterns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To decouple this runtime from infrastructure hardcoding paths, your developer must construct the following configuration dashboard elements within the operational backend administration panel structure: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Component 1: Central Management Configuration Panel Form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Route Location: </w:t>
      </w:r>
      <w:r>
        <w:rPr>
          <w:rFonts w:ascii="Calibri" w:hAnsi="Calibri"/>
          <w:b w:val="0"/>
          <w:i w:val="0"/>
          <w:color w:val="334155"/>
          <w:sz w:val="22"/>
        </w:rPr>
        <w:t>Provides an input dashboard screen mapped path under Settings &gt; Business Settings &gt; IntaSend Integration.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Dynamic Forms Profiles: </w:t>
      </w:r>
      <w:r>
        <w:rPr>
          <w:rFonts w:ascii="Calibri" w:hAnsi="Calibri"/>
          <w:b w:val="0"/>
          <w:i w:val="0"/>
          <w:color w:val="334155"/>
          <w:sz w:val="22"/>
        </w:rPr>
        <w:t>Renders standard input cards matching active location IDs loop structures dynamically. Administrative cashiers input the unique branch Till Number, Public Key, Private Secret Token, and custom localized Payment Link URLs.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Data Integrity Validation: </w:t>
      </w:r>
      <w:r>
        <w:rPr>
          <w:rFonts w:ascii="Calibri" w:hAnsi="Calibri"/>
          <w:b w:val="0"/>
          <w:i w:val="0"/>
          <w:color w:val="334155"/>
          <w:sz w:val="22"/>
        </w:rPr>
        <w:t>The saved fields populate the intasend_settings matrix values used by the runtime engine lookup pipelines.</w:t>
      </w:r>
    </w:p>
    <w:p>
      <w:pPr>
        <w:keepNext/>
        <w:spacing w:before="240" w:after="80"/>
      </w:pPr>
      <w:r>
        <w:rPr>
          <w:rFonts w:ascii="Segoe UI" w:hAnsi="Segoe UI"/>
          <w:b/>
          <w:i w:val="0"/>
          <w:color w:val="475569"/>
          <w:sz w:val="24"/>
        </w:rPr>
        <w:t>Component 2: Storefront Cashier Manual Settlement Sandbox Tool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Interface Anchor Context: </w:t>
      </w:r>
      <w:r>
        <w:rPr>
          <w:rFonts w:ascii="Calibri" w:hAnsi="Calibri"/>
          <w:b w:val="0"/>
          <w:i w:val="0"/>
          <w:color w:val="334155"/>
          <w:sz w:val="22"/>
        </w:rPr>
        <w:t>Renders a dedicated holding pool sub-tab UI layout mapped inside Contacts &gt; Customers &gt; View Ledger.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Secure Workspace Isolation: </w:t>
      </w:r>
      <w:r>
        <w:rPr>
          <w:rFonts w:ascii="Calibri" w:hAnsi="Calibri"/>
          <w:b w:val="0"/>
          <w:i w:val="0"/>
          <w:color w:val="334155"/>
          <w:sz w:val="22"/>
        </w:rPr>
        <w:t>Isolates visibility borders dynamically utilizing active staff authorization parameters to safeguard administrative parameters across storefront divisions: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$unassignedRecords = DB::table('intasend_payments')</w:t>
              <w:br/>
              <w:t xml:space="preserve">    -&gt;where('business_location_id', auth()-&gt;user()-&gt;business_location_id)</w:t>
              <w:br/>
              <w:t xml:space="preserve">    -&gt;where('is_attached', false)</w:t>
              <w:br/>
              <w:t xml:space="preserve">    -&gt;get();</w:t>
            </w:r>
          </w:p>
        </w:tc>
      </w:tr>
    </w:tbl>
    <w:p>
      <w:pPr>
        <w:spacing w:after="160"/>
      </w:pP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334155"/>
          <w:sz w:val="22"/>
        </w:rPr>
        <w:t xml:space="preserve">Execution Control Flow: </w:t>
      </w:r>
      <w:r>
        <w:rPr>
          <w:rFonts w:ascii="Calibri" w:hAnsi="Calibri"/>
          <w:b w:val="0"/>
          <w:i w:val="0"/>
          <w:color w:val="334155"/>
          <w:sz w:val="22"/>
        </w:rPr>
        <w:t>Presents an actionable row-by-row matrix tracking unattached payments sorted by payment timestamp. Cashiers identify target entries via provided client phone line references or Safaricom verification keys and select the [Link &amp; Apply Transaction] element action. This fires native core clearance operations (TransactionUtil@createPaymentLines), credit-clearing outstanding debt values immediately and shifting the buffer target boolean record values state tracking index parameters cleanly to is_attached = true.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