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2E75B6"/>
          <w:sz w:val="22"/>
          <w:szCs w:val="22"/>
        </w:rPr>
        <w:t xml:space="preserve">STRATEGIC MARKET INTELLIGENCE  —  GLOBAL EDITION</w:t>
      </w:r>
    </w:p>
    <w:p>
      <w:pPr>
        <w:pBdr>
          <w:bottom w:val="single" w:color="1F3864" w:sz="12" w:space="6"/>
        </w:pBdr>
        <w:spacing w:after="0" w:before="120"/>
      </w:pPr>
    </w:p>
    <w:p>
      <w:pPr>
        <w:spacing w:after="0" w:before="260"/>
      </w:pPr>
      <w:r>
        <w:rPr>
          <w:rFonts w:ascii="Arial" w:cs="Arial" w:eastAsia="Arial" w:hAnsi="Arial"/>
          <w:b/>
          <w:bCs/>
          <w:color w:val="1F3864"/>
          <w:sz w:val="52"/>
          <w:szCs w:val="52"/>
        </w:rPr>
        <w:t xml:space="preserve">Global Competitive Market</w:t>
      </w:r>
    </w:p>
    <w:p>
      <w:pPr>
        <w:spacing w:after="0" w:before="0"/>
      </w:pPr>
      <w:r>
        <w:rPr>
          <w:rFonts w:ascii="Arial" w:cs="Arial" w:eastAsia="Arial" w:hAnsi="Arial"/>
          <w:b/>
          <w:bCs/>
          <w:color w:val="1F3864"/>
          <w:sz w:val="52"/>
          <w:szCs w:val="52"/>
        </w:rPr>
        <w:t xml:space="preserve">Durability Analysis</w:t>
      </w:r>
    </w:p>
    <w:p>
      <w:pPr>
        <w:spacing w:after="0" w:before="120"/>
      </w:pPr>
      <w:r>
        <w:rPr>
          <w:rFonts w:ascii="Arial" w:cs="Arial" w:eastAsia="Arial" w:hAnsi="Arial"/>
          <w:color w:val="333333"/>
          <w:sz w:val="30"/>
          <w:szCs w:val="30"/>
        </w:rPr>
        <w:t xml:space="preserve">The Augmented Reality Product Landscape — All Regions &amp; Market Leaders</w:t>
      </w:r>
    </w:p>
    <w:p>
      <w:pPr>
        <w:spacing w:after="0" w:before="40"/>
      </w:pPr>
      <w:r>
        <w:rPr>
          <w:rFonts w:ascii="Arial" w:cs="Arial" w:eastAsia="Arial" w:hAnsi="Arial"/>
          <w:color w:val="595959"/>
          <w:sz w:val="22"/>
          <w:szCs w:val="22"/>
        </w:rPr>
        <w:t xml:space="preserve">Consumer  •  Enterprise  •  Defense      |      Americas • China • Europe • APAC • Israel • MEA</w:t>
      </w:r>
    </w:p>
    <w:p>
      <w:pPr>
        <w:spacing w:after="0" w:before="640"/>
      </w:pPr>
      <w:r>
        <w:rPr>
          <w:rFonts w:ascii="Arial" w:cs="Arial" w:eastAsia="Arial" w:hAnsi="Arial"/>
          <w:b/>
          <w:bCs/>
          <w:sz w:val="22"/>
          <w:szCs w:val="22"/>
        </w:rPr>
        <w:t xml:space="preserve">Prepared for:  Board of Directors &amp; Technical Product Leadership</w:t>
      </w:r>
    </w:p>
    <w:p>
      <w:pPr>
        <w:spacing w:after="0" w:before="80"/>
      </w:pPr>
      <w:r>
        <w:rPr>
          <w:rFonts w:ascii="Arial" w:cs="Arial" w:eastAsia="Arial" w:hAnsi="Arial"/>
          <w:sz w:val="22"/>
          <w:szCs w:val="22"/>
        </w:rPr>
        <w:t xml:space="preserve">Purpose:  Global product-landscape orientation, competitive durability assessment, and roadmap inputs</w:t>
      </w:r>
    </w:p>
    <w:p>
      <w:pPr>
        <w:spacing w:after="0" w:before="80"/>
      </w:pPr>
      <w:r>
        <w:rPr>
          <w:rFonts w:ascii="Arial" w:cs="Arial" w:eastAsia="Arial" w:hAnsi="Arial"/>
          <w:sz w:val="22"/>
          <w:szCs w:val="22"/>
        </w:rPr>
        <w:t xml:space="preserve">Date:  June 2026      Horizon:  2026 baseline, projections through 2030+</w:t>
      </w:r>
    </w:p>
    <w:p>
      <w:pPr>
        <w:spacing w:after="0" w:before="640"/>
      </w:pPr>
      <w:r>
        <w:rPr>
          <w:rFonts w:ascii="Arial" w:cs="Arial" w:eastAsia="Arial" w:hAnsi="Arial"/>
          <w:i/>
          <w:iCs/>
          <w:color w:val="595959"/>
          <w:sz w:val="18"/>
          <w:szCs w:val="18"/>
        </w:rPr>
        <w:t xml:space="preserve">Confidential — for internal strategic use. Market sizing reflects third-party analyst estimates that vary widely by definition and region; see Appendix B.</w:t>
      </w:r>
    </w:p>
    <w:p>
      <w:r>
        <w:br w:type="page"/>
      </w:r>
    </w:p>
    <w:p>
      <w:pPr>
        <w:spacing w:after="160"/>
      </w:pPr>
      <w:r>
        <w:rPr>
          <w:rFonts w:ascii="Arial" w:cs="Arial" w:eastAsia="Arial" w:hAnsi="Arial"/>
          <w:b/>
          <w:bCs/>
          <w:color w:val="1F3864"/>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1.  Executive Summary</w:t>
      </w:r>
    </w:p>
    <w:p>
      <w:pPr>
        <w:spacing w:after="160" w:line="276"/>
      </w:pPr>
      <w:r>
        <w:rPr>
          <w:i/>
          <w:iCs/>
          <w:color w:val="595959"/>
          <w:sz w:val="22"/>
          <w:szCs w:val="22"/>
        </w:rPr>
        <w:t xml:space="preserve">Augmented reality is now a real, double-digit-growth market — but in 2026 its value, defensibility, and even its competitive boundaries split along two axes at once: by layer (hardware vs. platform vs. component) and, increasingly, by region. This global edition adds the geographic axis the first analysis underweighted.</w:t>
      </w:r>
    </w:p>
    <w:p>
      <w:pPr>
        <w:spacing w:after="140" w:before="0" w:line="276"/>
      </w:pPr>
      <w:r>
        <w:rPr>
          <w:b/>
          <w:bCs/>
          <w:sz w:val="22"/>
          <w:szCs w:val="22"/>
        </w:rPr>
        <w:t xml:space="preserve">Headline thesis. </w:t>
      </w:r>
      <w:r>
        <w:rPr>
          <w:sz w:val="22"/>
          <w:szCs w:val="22"/>
        </w:rPr>
        <w:t xml:space="preserve">Device hardware remains the least durable position everywhere. But globally, durable value is splitting geographically: </w:t>
      </w:r>
      <w:r>
        <w:rPr>
          <w:b/>
          <w:bCs/>
          <w:sz w:val="22"/>
          <w:szCs w:val="22"/>
        </w:rPr>
        <w:t xml:space="preserve">North America</w:t>
      </w:r>
      <w:r>
        <w:rPr>
          <w:sz w:val="22"/>
          <w:szCs w:val="22"/>
        </w:rPr>
        <w:t xml:space="preserve"> owns the highest-value layers (platform/OS, AI assistants, defense programs, capital); </w:t>
      </w:r>
      <w:r>
        <w:rPr>
          <w:b/>
          <w:bCs/>
          <w:sz w:val="22"/>
          <w:szCs w:val="22"/>
        </w:rPr>
        <w:t xml:space="preserve">Greater China</w:t>
      </w:r>
      <w:r>
        <w:rPr>
          <w:sz w:val="22"/>
          <w:szCs w:val="22"/>
        </w:rPr>
        <w:t xml:space="preserve"> owns the largest consumer unit volume, the steepest growth, and a deepening hardware/optics supply base on a separate platform stack; </w:t>
      </w:r>
      <w:r>
        <w:rPr>
          <w:b/>
          <w:bCs/>
          <w:sz w:val="22"/>
          <w:szCs w:val="22"/>
        </w:rPr>
        <w:t xml:space="preserve">Europe</w:t>
      </w:r>
      <w:r>
        <w:rPr>
          <w:sz w:val="22"/>
          <w:szCs w:val="22"/>
        </w:rPr>
        <w:t xml:space="preserve"> leads the brand-and-distribution, optical-materials, and regulatory layers; </w:t>
      </w:r>
      <w:r>
        <w:rPr>
          <w:b/>
          <w:bCs/>
          <w:sz w:val="22"/>
          <w:szCs w:val="22"/>
        </w:rPr>
        <w:t xml:space="preserve">Israel</w:t>
      </w:r>
      <w:r>
        <w:rPr>
          <w:sz w:val="22"/>
          <w:szCs w:val="22"/>
        </w:rPr>
        <w:t xml:space="preserve"> anchors dual-use waveguide IP and defense optics; and </w:t>
      </w:r>
      <w:r>
        <w:rPr>
          <w:b/>
          <w:bCs/>
          <w:sz w:val="22"/>
          <w:szCs w:val="22"/>
        </w:rPr>
        <w:t xml:space="preserve">the rest of Asia-Pacific and the Middle East</w:t>
      </w:r>
      <w:r>
        <w:rPr>
          <w:sz w:val="22"/>
          <w:szCs w:val="22"/>
        </w:rPr>
        <w:t xml:space="preserve"> supply platform hardware, components, manufacturing, and sovereign demand. The single most consequential new finding is that the market is bifurcating into two partly incompatible ecosystems — a Western stack (Qualcomm silicon, Android XR / visionOS / Meta) and a Chinese domestic stack — and that regulatory divergence, led by the EU AI Act, is now a first-class durability variable.</w:t>
      </w:r>
    </w:p>
    <w:p>
      <w:pPr>
        <w:pStyle w:val="Heading3"/>
        <w:spacing w:after="90" w:before="160"/>
      </w:pPr>
      <w:r>
        <w:rPr>
          <w:rFonts w:ascii="Arial" w:cs="Arial" w:eastAsia="Arial" w:hAnsi="Arial"/>
          <w:b/>
          <w:bCs/>
          <w:color w:val="333333"/>
          <w:sz w:val="23"/>
          <w:szCs w:val="23"/>
        </w:rPr>
        <w:t xml:space="preserve">What the board should take away</w:t>
      </w:r>
    </w:p>
    <w:p>
      <w:pPr>
        <w:pStyle w:val="ListParagraph"/>
        <w:numPr>
          <w:ilvl w:val="0"/>
          <w:numId w:val="2"/>
        </w:numPr>
        <w:spacing w:after="80" w:line="270"/>
      </w:pPr>
      <w:r>
        <w:rPr>
          <w:b/>
          <w:bCs/>
          <w:sz w:val="22"/>
          <w:szCs w:val="22"/>
        </w:rPr>
        <w:t xml:space="preserve">The market is global and growing, but the numbers disagree by region and definition. </w:t>
      </w:r>
      <w:r>
        <w:rPr>
          <w:sz w:val="22"/>
          <w:szCs w:val="22"/>
        </w:rPr>
        <w:t xml:space="preserve">Broad AR/VR smart-glasses estimates run ~US$21–25B (2025–26) toward ~US$47B by 2030 (~17% CAGR); defense AR/VR is ~US$1.7B today at ~16–21%. Asia-Pacific leads unit volume and growth; North America leads value capture; Europe leads industrial depth and regulation.</w:t>
      </w:r>
    </w:p>
    <w:p>
      <w:pPr>
        <w:pStyle w:val="ListParagraph"/>
        <w:numPr>
          <w:ilvl w:val="0"/>
          <w:numId w:val="2"/>
        </w:numPr>
        <w:spacing w:after="80" w:line="270"/>
      </w:pPr>
      <w:r>
        <w:rPr>
          <w:b/>
          <w:bCs/>
          <w:sz w:val="22"/>
          <w:szCs w:val="22"/>
        </w:rPr>
        <w:t xml:space="preserve">Value capture and unit volume are in different places. </w:t>
      </w:r>
      <w:r>
        <w:rPr>
          <w:sz w:val="22"/>
          <w:szCs w:val="22"/>
        </w:rPr>
        <w:t xml:space="preserve">China ships the most consumer AR glasses and is growing fastest, but the compounding platform/OS rents, the defense programs, and the capital concentrate in North America. Owning units is not the same as owning the market.</w:t>
      </w:r>
    </w:p>
    <w:p>
      <w:pPr>
        <w:pStyle w:val="ListParagraph"/>
        <w:numPr>
          <w:ilvl w:val="0"/>
          <w:numId w:val="2"/>
        </w:numPr>
        <w:spacing w:after="80" w:line="270"/>
      </w:pPr>
      <w:r>
        <w:rPr>
          <w:b/>
          <w:bCs/>
          <w:sz w:val="22"/>
          <w:szCs w:val="22"/>
        </w:rPr>
        <w:t xml:space="preserve">Two ecosystems are forming. </w:t>
      </w:r>
      <w:r>
        <w:rPr>
          <w:sz w:val="22"/>
          <w:szCs w:val="22"/>
        </w:rPr>
        <w:t xml:space="preserve">Western devices ride Qualcomm + Android XR/visionOS/Meta; Chinese devices increasingly ride domestic silicon and AI backends behind data-localization rules. A single global product and a single global data architecture are becoming untenable.</w:t>
      </w:r>
    </w:p>
    <w:p>
      <w:pPr>
        <w:pStyle w:val="ListParagraph"/>
        <w:numPr>
          <w:ilvl w:val="0"/>
          <w:numId w:val="2"/>
        </w:numPr>
        <w:spacing w:after="80" w:line="270"/>
      </w:pPr>
      <w:r>
        <w:rPr>
          <w:b/>
          <w:bCs/>
          <w:sz w:val="22"/>
          <w:szCs w:val="22"/>
        </w:rPr>
        <w:t xml:space="preserve">Regulation is now a durability variable, not a footnote. </w:t>
      </w:r>
      <w:r>
        <w:rPr>
          <w:sz w:val="22"/>
          <w:szCs w:val="22"/>
        </w:rPr>
        <w:t xml:space="preserve">The EU AI Act (fully applicable 2 August 2026) plus GDPR materially constrain the always-on-camera and face/biometric features that anchor consumer AR value; the US is permissive federally but litigious at state level; China is state-permissive but data-sovereign. Features must be regionalized.</w:t>
      </w:r>
    </w:p>
    <w:p>
      <w:pPr>
        <w:pStyle w:val="ListParagraph"/>
        <w:numPr>
          <w:ilvl w:val="0"/>
          <w:numId w:val="2"/>
        </w:numPr>
        <w:spacing w:after="80" w:line="270"/>
      </w:pPr>
      <w:r>
        <w:rPr>
          <w:b/>
          <w:bCs/>
          <w:sz w:val="22"/>
          <w:szCs w:val="22"/>
        </w:rPr>
        <w:t xml:space="preserve">The most defensible bets remain off the device. </w:t>
      </w:r>
      <w:r>
        <w:rPr>
          <w:sz w:val="22"/>
          <w:szCs w:val="22"/>
        </w:rPr>
        <w:t xml:space="preserve">Component IP — notably reflective/diffractive waveguides (Israel’s Lumus; US Vuzix; Finland’s Dispelix) and optical glass (Germany’s Schott, Zeiss) — plus silicon and the OS/assistant layer are durable and dual-use across every region and arena.</w:t>
      </w:r>
    </w:p>
    <w:p>
      <w:pPr>
        <w:pStyle w:val="Heading3"/>
        <w:spacing w:after="90" w:before="160"/>
      </w:pPr>
      <w:r>
        <w:rPr>
          <w:rFonts w:ascii="Arial" w:cs="Arial" w:eastAsia="Arial" w:hAnsi="Arial"/>
          <w:b/>
          <w:bCs/>
          <w:color w:val="333333"/>
          <w:sz w:val="23"/>
          <w:szCs w:val="23"/>
        </w:rPr>
        <w:t xml:space="preserve">What technical leadership should plan around</w:t>
      </w:r>
    </w:p>
    <w:p>
      <w:pPr>
        <w:pStyle w:val="ListParagraph"/>
        <w:numPr>
          <w:ilvl w:val="0"/>
          <w:numId w:val="2"/>
        </w:numPr>
        <w:spacing w:after="80" w:line="270"/>
      </w:pPr>
      <w:r>
        <w:rPr>
          <w:b/>
          <w:bCs/>
          <w:sz w:val="22"/>
          <w:szCs w:val="22"/>
        </w:rPr>
        <w:t xml:space="preserve">Choose a platform lane and a region strategy together. </w:t>
      </w:r>
      <w:r>
        <w:rPr>
          <w:sz w:val="22"/>
          <w:szCs w:val="22"/>
        </w:rPr>
        <w:t xml:space="preserve">Android XR / visionOS / Meta for the West; a separate decision for China (domestic stack or stay out). Avoid orphaned, single-vendor hardware.</w:t>
      </w:r>
    </w:p>
    <w:p>
      <w:pPr>
        <w:pStyle w:val="ListParagraph"/>
        <w:numPr>
          <w:ilvl w:val="0"/>
          <w:numId w:val="2"/>
        </w:numPr>
        <w:spacing w:after="80" w:line="270"/>
      </w:pPr>
      <w:r>
        <w:rPr>
          <w:b/>
          <w:bCs/>
          <w:sz w:val="22"/>
          <w:szCs w:val="22"/>
        </w:rPr>
        <w:t xml:space="preserve">Design for regulatory divergence from day one. </w:t>
      </w:r>
      <w:r>
        <w:rPr>
          <w:sz w:val="22"/>
          <w:szCs w:val="22"/>
        </w:rPr>
        <w:t xml:space="preserve">Architect camera, recognition, and data-routing features to be regionally configurable so the EU-compliant build, the US build, and the China build are variants, not rewrites.</w:t>
      </w:r>
    </w:p>
    <w:p>
      <w:pPr>
        <w:pStyle w:val="ListParagraph"/>
        <w:numPr>
          <w:ilvl w:val="0"/>
          <w:numId w:val="2"/>
        </w:numPr>
        <w:spacing w:after="80" w:line="270"/>
      </w:pPr>
      <w:r>
        <w:rPr>
          <w:b/>
          <w:bCs/>
          <w:sz w:val="22"/>
          <w:szCs w:val="22"/>
        </w:rPr>
        <w:t xml:space="preserve">Diversify the optics/silicon supply geographically, </w:t>
      </w:r>
      <w:r>
        <w:rPr>
          <w:sz w:val="22"/>
          <w:szCs w:val="22"/>
        </w:rPr>
        <w:t xml:space="preserve">and engineer for dual-use and open standards (OpenXR; in defense, TAK/ATAK) to hedge supply concentration, platform appropriation, and procurement/sovereignty risk.</w:t>
      </w:r>
    </w:p>
    <w:p>
      <w:pPr>
        <w:spacing w:after="140" w:before="0" w:line="276"/>
      </w:pPr>
      <w:r>
        <w:rPr>
          <w:b/>
          <w:bCs/>
          <w:i/>
          <w:iCs/>
          <w:color w:val="595959"/>
          <w:sz w:val="21"/>
          <w:szCs w:val="21"/>
        </w:rPr>
        <w:t xml:space="preserve">Reading guide:  </w:t>
      </w:r>
      <w:r>
        <w:rPr>
          <w:i/>
          <w:iCs/>
          <w:color w:val="595959"/>
          <w:sz w:val="21"/>
          <w:szCs w:val="21"/>
        </w:rPr>
        <w:t xml:space="preserve">board readers can stay in §1, §3 (global sizing), §5 (regional deep-dives) and §10 (recommendations). Technical and product readers should add §4, §6–§9 (landscape, durability mechanics, structural risks, and roadmap).</w:t>
      </w:r>
    </w:p>
    <w:p>
      <w:pPr>
        <w:pStyle w:val="Heading1"/>
        <w:pBdr>
          <w:bottom w:val="single" w:color="2E75B6" w:sz="8" w:space="4"/>
        </w:pBdr>
        <w:spacing w:after="160" w:before="320"/>
      </w:pPr>
      <w:r>
        <w:rPr>
          <w:rFonts w:ascii="Arial" w:cs="Arial" w:eastAsia="Arial" w:hAnsi="Arial"/>
          <w:b/>
          <w:bCs/>
          <w:color w:val="1F3864"/>
          <w:sz w:val="32"/>
          <w:szCs w:val="32"/>
        </w:rPr>
        <w:t xml:space="preserve">2.  Scope, Method &amp; Definitions</w:t>
      </w:r>
    </w:p>
    <w:p>
      <w:pPr>
        <w:spacing w:after="140" w:before="0" w:line="276"/>
      </w:pPr>
      <w:r>
        <w:rPr>
          <w:b/>
          <w:bCs/>
          <w:sz w:val="22"/>
          <w:szCs w:val="22"/>
        </w:rPr>
        <w:t xml:space="preserve">Scope. </w:t>
      </w:r>
      <w:r>
        <w:rPr>
          <w:sz w:val="22"/>
          <w:szCs w:val="22"/>
        </w:rPr>
        <w:t xml:space="preserve">This global edition covers augmented-reality products worldwide across three arenas — consumer, enterprise/industrial, and defense — and the full value chain from optics and silicon through operating systems, applications, and systems integration. It is organized around three lenses applied together: arena × layer × geography. All major regions and market leaders are represented.</w:t>
      </w:r>
    </w:p>
    <w:p>
      <w:pPr>
        <w:spacing w:after="140" w:before="0" w:line="276"/>
      </w:pPr>
      <w:r>
        <w:rPr>
          <w:b/>
          <w:bCs/>
          <w:sz w:val="22"/>
          <w:szCs w:val="22"/>
        </w:rPr>
        <w:t xml:space="preserve">Method. </w:t>
      </w:r>
      <w:r>
        <w:rPr>
          <w:sz w:val="22"/>
          <w:szCs w:val="22"/>
        </w:rPr>
        <w:t xml:space="preserve">Findings synthesize current product/program disclosures with third-party market sizing, applying four durability lenses — industry structure (Five Forces), sources of sustainable advantage (the “powers” framework), technology-adoption lifecycle, and value-chain analysis — plus a structural-risk scan now including regulatory divergence and technology sovereignty. Market figures are analyst estimates: directional ranges, not point forecasts, and they vary materially by region and by where each analyst draws category boundaries.</w:t>
      </w:r>
    </w:p>
    <w:p>
      <w:pPr>
        <w:pStyle w:val="Heading3"/>
        <w:spacing w:after="90" w:before="160"/>
      </w:pPr>
      <w:r>
        <w:rPr>
          <w:rFonts w:ascii="Arial" w:cs="Arial" w:eastAsia="Arial" w:hAnsi="Arial"/>
          <w:b/>
          <w:bCs/>
          <w:color w:val="333333"/>
          <w:sz w:val="23"/>
          <w:szCs w:val="23"/>
        </w:rPr>
        <w:t xml:space="preserve">Definitions and why regional boundaries differ</w:t>
      </w:r>
    </w:p>
    <w:p>
      <w:pPr>
        <w:pStyle w:val="ListParagraph"/>
        <w:numPr>
          <w:ilvl w:val="0"/>
          <w:numId w:val="2"/>
        </w:numPr>
        <w:spacing w:after="80" w:line="270"/>
      </w:pPr>
      <w:r>
        <w:rPr>
          <w:b/>
          <w:bCs/>
          <w:sz w:val="22"/>
          <w:szCs w:val="22"/>
        </w:rPr>
        <w:t xml:space="preserve">AR display / AI glasses — </w:t>
      </w:r>
      <w:r>
        <w:rPr>
          <w:sz w:val="22"/>
          <w:szCs w:val="22"/>
        </w:rPr>
        <w:t xml:space="preserve">lightweight, socially wearable frames overlaying information and/or running an on-board AI assistant. The high-growth consumer center of gravity — and the category where China and the West are racing hardest.</w:t>
      </w:r>
    </w:p>
    <w:p>
      <w:pPr>
        <w:pStyle w:val="ListParagraph"/>
        <w:numPr>
          <w:ilvl w:val="0"/>
          <w:numId w:val="2"/>
        </w:numPr>
        <w:spacing w:after="80" w:line="270"/>
      </w:pPr>
      <w:r>
        <w:rPr>
          <w:b/>
          <w:bCs/>
          <w:sz w:val="22"/>
          <w:szCs w:val="22"/>
        </w:rPr>
        <w:t xml:space="preserve">Mixed-reality (MR) headsets — </w:t>
      </w:r>
      <w:r>
        <w:rPr>
          <w:sz w:val="22"/>
          <w:szCs w:val="22"/>
        </w:rPr>
        <w:t xml:space="preserve">heavier passthrough spatial-computing devices (Apple Vision Pro, Meta Quest, Samsung Galaxy XR). Capable but transitional; Vision Pro shipped ~390K units in 2024 then ~85K in 2025 (IDC/analyst estimates), underscoring the goggle plateau.</w:t>
      </w:r>
    </w:p>
    <w:p>
      <w:pPr>
        <w:pStyle w:val="ListParagraph"/>
        <w:numPr>
          <w:ilvl w:val="0"/>
          <w:numId w:val="2"/>
        </w:numPr>
        <w:spacing w:after="80" w:line="270"/>
      </w:pPr>
      <w:r>
        <w:rPr>
          <w:b/>
          <w:bCs/>
          <w:sz w:val="22"/>
          <w:szCs w:val="22"/>
        </w:rPr>
        <w:t xml:space="preserve">Helmet- and weapon-mounted systems — </w:t>
      </w:r>
      <w:r>
        <w:rPr>
          <w:sz w:val="22"/>
          <w:szCs w:val="22"/>
        </w:rPr>
        <w:t xml:space="preserve">ruggedized, certified, sensor-fused hardware for aviation and dismounted-soldier use. Low volume, very high value and switching costs — and nationally fragmented by export control.</w:t>
      </w:r>
    </w:p>
    <w:p>
      <w:pPr>
        <w:spacing w:after="140" w:before="0" w:line="276"/>
      </w:pPr>
      <w:r>
        <w:rPr>
          <w:sz w:val="22"/>
          <w:szCs w:val="22"/>
        </w:rPr>
        <w:t xml:space="preserve">Estimates span roughly US$4B to US$50B by 2030 because definitions differ (audio-only “smart glasses,” VR inclusion) and because regional markets are counted inconsistently. </w:t>
      </w:r>
      <w:r>
        <w:rPr>
          <w:b/>
          <w:bCs/>
          <w:sz w:val="22"/>
          <w:szCs w:val="22"/>
        </w:rPr>
        <w:t xml:space="preserve">For a durability analysis, that immaturity is itself a risk: a category the market cannot agree how to measure — or how to bound by region — is one whose competitive boundaries are still being drawn.</w:t>
      </w:r>
    </w:p>
    <w:p>
      <w:pPr>
        <w:pStyle w:val="Heading1"/>
        <w:pBdr>
          <w:bottom w:val="single" w:color="2E75B6" w:sz="8" w:space="4"/>
        </w:pBdr>
        <w:spacing w:after="160" w:before="320"/>
      </w:pPr>
      <w:r>
        <w:rPr>
          <w:rFonts w:ascii="Arial" w:cs="Arial" w:eastAsia="Arial" w:hAnsi="Arial"/>
          <w:b/>
          <w:bCs/>
          <w:color w:val="1F3864"/>
          <w:sz w:val="32"/>
          <w:szCs w:val="32"/>
        </w:rPr>
        <w:t xml:space="preserve">3.  Global Market Sizing &amp; Regional Split</w:t>
      </w:r>
    </w:p>
    <w:p>
      <w:pPr>
        <w:spacing w:after="160" w:line="276"/>
      </w:pPr>
      <w:r>
        <w:rPr>
          <w:i/>
          <w:iCs/>
          <w:color w:val="595959"/>
          <w:sz w:val="22"/>
          <w:szCs w:val="22"/>
        </w:rPr>
        <w:t xml:space="preserve">Treat the numbers as triangulated ranges. The consistent signals: double-digit growth, a 2025–26 consumer inflection, Asia-Pacific leading volume, and North America leading value.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Segment</w:t>
            </w:r>
          </w:p>
        </w:tc>
        <w:tc>
          <w:tcPr>
            <w:tcW w:type="dxa" w:w="36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Size trajectory (analyst estimates)</w:t>
            </w:r>
          </w:p>
        </w:tc>
        <w:tc>
          <w:tcPr>
            <w:tcW w:type="dxa" w:w="33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Growth &amp; note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AR/VR smart glasses (broad)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~US$21–25B (2025–26) → ~US$47B (2030)</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~17% CAGR (The Business Research Company).</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Smart glasses (narrow)</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~US$1.2B (2025) → ~US$4.1B (2030)</w:t>
            </w:r>
          </w:p>
        </w:tc>
        <w:tc>
          <w:tcPr>
            <w:tcW w:type="dxa" w:w="3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~29% CAGR (MarketsandMarkets). Excl. VR/MR.</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Smart glasses (mid)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~US$2.5B (2025) → ~US$14B (2033)</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~24% CAGR (Grand View). Android led OS share.</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Consumer XR glasses</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~US$10.5B (2024) → ~US$32.5B (2033)</w:t>
            </w:r>
          </w:p>
        </w:tc>
        <w:tc>
          <w:tcPr>
            <w:tcW w:type="dxa" w:w="3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~13.5% CAGR (Verified Market Reports).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Unit shipments</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~98M AR smart-glasses units by 2030</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China fastest-growing region (multiple).</w:t>
            </w:r>
          </w:p>
        </w:tc>
      </w:tr>
      <w:tr>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AR/VR in defense</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~US$1.7B (2025) → ~US$4.3B (2030)</w:t>
            </w:r>
          </w:p>
        </w:tc>
        <w:tc>
          <w:tcPr>
            <w:tcW w:type="dxa" w:w="3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~21% CAGR (Mordor). N. America ~43% of spend.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Military AR (longer view)</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~US$1.7B (2025) → ~US$6.8B (2034)</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~16% CAGR (The Insight Partners).</w:t>
            </w:r>
          </w:p>
        </w:tc>
      </w:tr>
    </w:tbl>
    <w:p>
      <w:pPr>
        <w:spacing w:after="60"/>
      </w:pPr>
    </w:p>
    <w:p>
      <w:pPr>
        <w:pStyle w:val="Heading3"/>
        <w:spacing w:after="90" w:before="160"/>
      </w:pPr>
      <w:r>
        <w:rPr>
          <w:rFonts w:ascii="Arial" w:cs="Arial" w:eastAsia="Arial" w:hAnsi="Arial"/>
          <w:b/>
          <w:bCs/>
          <w:color w:val="333333"/>
          <w:sz w:val="23"/>
          <w:szCs w:val="23"/>
        </w:rPr>
        <w:t xml:space="preserve">Regional split — who leads on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80"/>
        <w:gridCol w:w="268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Region</w:t>
            </w:r>
          </w:p>
        </w:tc>
        <w:tc>
          <w:tcPr>
            <w:tcW w:type="dxa" w:w="2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Demand position</w:t>
            </w:r>
          </w:p>
        </w:tc>
        <w:tc>
          <w:tcPr>
            <w:tcW w:type="dxa" w:w="26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Where it leads</w:t>
            </w:r>
          </w:p>
        </w:tc>
        <w:tc>
          <w:tcPr>
            <w:tcW w:type="dxa" w:w="26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Key durability dynamic</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North America</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Large; enterprise + defense-heavy</w:t>
            </w:r>
          </w:p>
        </w:tc>
        <w:tc>
          <w:tcPr>
            <w:tcW w:type="dxa" w:w="2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Platform/OS, AI assistants, defense programs, capital</w:t>
            </w:r>
          </w:p>
        </w:tc>
        <w:tc>
          <w:tcPr>
            <w:tcW w:type="dxa" w:w="2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Owns the value-capture layers; defense incumbency</w:t>
            </w:r>
          </w:p>
        </w:tc>
      </w:tr>
      <w:tr>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Greater China</w:t>
            </w:r>
          </w:p>
        </w:tc>
        <w:tc>
          <w:tcPr>
            <w:tcW w:type="dxa" w:w="23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Largest consumer volume; fastest growth</w:t>
            </w:r>
          </w:p>
        </w:tc>
        <w:tc>
          <w:tcPr>
            <w:tcW w:type="dxa" w:w="2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Consumer hardware, display tech, supply chain, price</w:t>
            </w:r>
          </w:p>
        </w:tc>
        <w:tc>
          <w:tcPr>
            <w:tcW w:type="dxa" w:w="2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Separate platform stack; state support; partial closure</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Europe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Mid; deep industrial</w:t>
            </w:r>
          </w:p>
        </w:tc>
        <w:tc>
          <w:tcPr>
            <w:tcW w:type="dxa" w:w="2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Eyewear brand/retail, optical materials, industrial AR, regulation</w:t>
            </w:r>
          </w:p>
        </w:tc>
        <w:tc>
          <w:tcPr>
            <w:tcW w:type="dxa" w:w="2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Regulatory leadership gates features; niche champions</w:t>
            </w:r>
          </w:p>
        </w:tc>
      </w:tr>
      <w:tr>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Asia-Pacific (ex-China)</w:t>
            </w:r>
          </w:p>
        </w:tc>
        <w:tc>
          <w:tcPr>
            <w:tcW w:type="dxa" w:w="23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Mid; rising</w:t>
            </w:r>
          </w:p>
        </w:tc>
        <w:tc>
          <w:tcPr>
            <w:tcW w:type="dxa" w:w="2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Korea platform hardware (Samsung), Japan optics/components, manufacturing</w:t>
            </w:r>
          </w:p>
        </w:tc>
        <w:tc>
          <w:tcPr>
            <w:tcW w:type="dxa" w:w="2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Android-XR aligned; component &amp; assembly depth</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Israel</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Small but pivotal</w:t>
            </w:r>
          </w:p>
        </w:tc>
        <w:tc>
          <w:tcPr>
            <w:tcW w:type="dxa" w:w="2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Waveguide IP, defense optics, medical AR</w:t>
            </w:r>
          </w:p>
        </w:tc>
        <w:tc>
          <w:tcPr>
            <w:tcW w:type="dxa" w:w="2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Dual-use component and defense moats</w:t>
            </w:r>
          </w:p>
        </w:tc>
      </w:tr>
      <w:tr>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Middle East &amp; RoW</w:t>
            </w:r>
          </w:p>
        </w:tc>
        <w:tc>
          <w:tcPr>
            <w:tcW w:type="dxa" w:w="23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Small; emerging</w:t>
            </w:r>
          </w:p>
        </w:tc>
        <w:tc>
          <w:tcPr>
            <w:tcW w:type="dxa" w:w="2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Sovereign-funded adoption; smart-city &amp; defense procurement</w:t>
            </w:r>
          </w:p>
        </w:tc>
        <w:tc>
          <w:tcPr>
            <w:tcW w:type="dxa" w:w="26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Demand-side; capital, not supply</w:t>
            </w:r>
          </w:p>
        </w:tc>
      </w:tr>
    </w:tbl>
    <w:p>
      <w:pPr>
        <w:spacing w:after="60"/>
      </w:pPr>
    </w:p>
    <w:p>
      <w:pPr>
        <w:spacing w:after="140" w:before="0" w:line="276"/>
      </w:pPr>
      <w:r>
        <w:rPr>
          <w:b/>
          <w:bCs/>
          <w:sz w:val="21"/>
          <w:szCs w:val="21"/>
        </w:rPr>
        <w:t xml:space="preserve">Implication for durability: </w:t>
      </w:r>
      <w:r>
        <w:rPr>
          <w:color w:val="595959"/>
          <w:sz w:val="21"/>
          <w:szCs w:val="21"/>
        </w:rPr>
        <w:t xml:space="preserve">growth is not in dispute; share-of-value capture is, and it is geographically uneven. A rising global tide funds many entrants, intensifying rivalry and commoditization at the device layer — reinforcing that durable returns accrue to platform, component-IP, brand/distribution, and program-incumbency layers, and increasingly to whoever can operate across both the Western and Chinese ecosystems.</w:t>
      </w:r>
    </w:p>
    <w:p>
      <w:pPr>
        <w:pStyle w:val="Heading1"/>
        <w:pBdr>
          <w:bottom w:val="single" w:color="2E75B6" w:sz="8" w:space="4"/>
        </w:pBdr>
        <w:spacing w:after="160" w:before="320"/>
      </w:pPr>
      <w:r>
        <w:rPr>
          <w:rFonts w:ascii="Arial" w:cs="Arial" w:eastAsia="Arial" w:hAnsi="Arial"/>
          <w:b/>
          <w:bCs/>
          <w:color w:val="1F3864"/>
          <w:sz w:val="32"/>
          <w:szCs w:val="32"/>
        </w:rPr>
        <w:t xml:space="preserve">4.  The Global Competitive Landscape</w:t>
      </w:r>
    </w:p>
    <w:p>
      <w:pPr>
        <w:spacing w:after="140" w:before="0" w:line="276"/>
      </w:pPr>
      <w:r>
        <w:rPr>
          <w:sz w:val="22"/>
          <w:szCs w:val="22"/>
        </w:rPr>
        <w:t xml:space="preserve">This section summarizes the field by arena with a global cast; §5 then deep-dives by region. A full catalog appears in Appendix A.</w:t>
      </w:r>
    </w:p>
    <w:p>
      <w:pPr>
        <w:pStyle w:val="Heading2"/>
        <w:spacing w:after="110" w:before="220"/>
      </w:pPr>
      <w:r>
        <w:rPr>
          <w:rFonts w:ascii="Arial" w:cs="Arial" w:eastAsia="Arial" w:hAnsi="Arial"/>
          <w:b/>
          <w:bCs/>
          <w:color w:val="1F3864"/>
          <w:sz w:val="26"/>
          <w:szCs w:val="26"/>
        </w:rPr>
        <w:t xml:space="preserve">4.1  Consumer</w:t>
      </w:r>
    </w:p>
    <w:p>
      <w:pPr>
        <w:spacing w:after="140" w:before="0" w:line="276"/>
      </w:pPr>
      <w:r>
        <w:rPr>
          <w:b/>
          <w:bCs/>
          <w:sz w:val="22"/>
          <w:szCs w:val="22"/>
        </w:rPr>
        <w:t xml:space="preserve">Western platform/brand leaders. </w:t>
      </w:r>
      <w:r>
        <w:rPr>
          <w:sz w:val="22"/>
          <w:szCs w:val="22"/>
        </w:rPr>
        <w:t xml:space="preserve">Meta sets the global pace — Ray-Ban value AI glasses (~US$379) and the Ray-Ban Display (~US$799, the first full-color waveguide Ray-Ban, Sept 2025, codenamed Hypernova, paired with an sEMG wristband) — borrowing EssilorLuxottica’s century-old eyewear brand and global optical-retail network. Apple anchors the premium MR tier (Vision Pro, visionOS) and is reportedly racing glasses for 2026. Google’s Android XR with Gemini is the emerging horizontal OS, with eyewear partners (Warby Parker, Gentle Monster) and Project Aura (with XReal). Snap spun out Specs Inc. (Jan 2026) for lightweight Snap OS glasses; Amazon is developing “Jayhawk.” Per IDC, Meta held ~76% of Q3-2025 XR shipments (Quest + Ray-Ban combined).</w:t>
      </w:r>
    </w:p>
    <w:p>
      <w:pPr>
        <w:spacing w:after="140" w:before="0" w:line="276"/>
      </w:pPr>
      <w:r>
        <w:rPr>
          <w:b/>
          <w:bCs/>
          <w:sz w:val="22"/>
          <w:szCs w:val="22"/>
        </w:rPr>
        <w:t xml:space="preserve">The China cluster (now globally material). </w:t>
      </w:r>
      <w:r>
        <w:rPr>
          <w:sz w:val="22"/>
          <w:szCs w:val="22"/>
        </w:rPr>
        <w:t xml:space="preserve">Of ~60 smart-eyewear exhibitors at CES 2026, at least 27 were Chinese. XReal (Beijing; filed for a Hong Kong IPO) leads premium display glasses; RayNeo (TCL/Shenzhen) led the video-centric AR segment globally in H2-2025 (~42% share vs. XReal ~28%, per Counterpoint); Rokid (Hangzhou) is the most internationally oriented (EssilorLuxottica-owned Bolon frames; open to multiple AI backends); Xiaomi ranked #2 in global XR shipments via its AI glasses; Huawei (HarmonyOS + proprietary silicon), Alibaba (Quark AI Glasses), Baidu, INMO, Meizu, and Viture round out a deep field. IDC’s Q3-2025 top five: Meta, Xiaomi, XReal, RayNeo, Viture.</w:t>
      </w:r>
    </w:p>
    <w:p>
      <w:pPr>
        <w:spacing w:after="140" w:before="0" w:line="276"/>
      </w:pPr>
      <w:r>
        <w:rPr>
          <w:b/>
          <w:bCs/>
          <w:sz w:val="22"/>
          <w:szCs w:val="22"/>
        </w:rPr>
        <w:t xml:space="preserve">Korea &amp; Japan. </w:t>
      </w:r>
      <w:r>
        <w:rPr>
          <w:sz w:val="22"/>
          <w:szCs w:val="22"/>
        </w:rPr>
        <w:t xml:space="preserve">Samsung’s Galaxy XR headset (US/Korea, global rollout 2026) and forthcoming Galaxy Glasses run Android XR on Qualcomm silicon (the Google–Qualcomm–Samsung axis). Sony (Japan) brings PlayStation VR and an enterprise spatial headset; Seiko Epson’s Moverio is a long-standing AR line; LG partners on XR.</w:t>
      </w:r>
    </w:p>
    <w:p>
      <w:pPr>
        <w:pStyle w:val="Heading2"/>
        <w:spacing w:after="110" w:before="220"/>
      </w:pPr>
      <w:r>
        <w:rPr>
          <w:rFonts w:ascii="Arial" w:cs="Arial" w:eastAsia="Arial" w:hAnsi="Arial"/>
          <w:b/>
          <w:bCs/>
          <w:color w:val="1F3864"/>
          <w:sz w:val="26"/>
          <w:szCs w:val="26"/>
        </w:rPr>
        <w:t xml:space="preserve">4.2  Enterprise / Industrial</w:t>
      </w:r>
    </w:p>
    <w:p>
      <w:pPr>
        <w:spacing w:after="140" w:before="0" w:line="276"/>
      </w:pPr>
      <w:r>
        <w:rPr>
          <w:sz w:val="22"/>
          <w:szCs w:val="22"/>
        </w:rPr>
        <w:t xml:space="preserve">Enterprise AR moved from pilots to mainstream deployment in 2026 (maintenance, field service, remote-expert, training). The HoloLens exit left a gap contested by Magic Leap 2 (US; optical see-through, surgical/engineering), Vuzix (US; M-series, Ultralite Pro, and a major waveguide supplier — now collaborating with Collins Aerospace on defense), RealWear (US; rugged voice-control), and Iristick (Belgium; ATEX-certified for hazardous environments). Europe is distinctive here: Germany’s Industrie 4.0 drives adoption, with Varjo (Finland; high-fidelity simulation/design), Dassault Systèmes (France; 3DEXPERIENCE PLM + AR), Holo-Light (AR streaming), and SAP/Siemens as software anchors. Horizontal software — TeamViewer Frontline (Germany), Microsoft Dynamics 365 Guides — abstracts the hardware away, capturing much of the durable enterprise value.</w:t>
      </w:r>
    </w:p>
    <w:p>
      <w:pPr>
        <w:pStyle w:val="Heading2"/>
        <w:spacing w:after="110" w:before="220"/>
      </w:pPr>
      <w:r>
        <w:rPr>
          <w:rFonts w:ascii="Arial" w:cs="Arial" w:eastAsia="Arial" w:hAnsi="Arial"/>
          <w:b/>
          <w:bCs/>
          <w:color w:val="1F3864"/>
          <w:sz w:val="26"/>
          <w:szCs w:val="26"/>
        </w:rPr>
        <w:t xml:space="preserve">4.3  Defense — a global but nationally fragmented arena</w:t>
      </w:r>
    </w:p>
    <w:p>
      <w:pPr>
        <w:spacing w:after="140" w:before="0" w:line="276"/>
      </w:pPr>
      <w:r>
        <w:rPr>
          <w:b/>
          <w:bCs/>
          <w:sz w:val="22"/>
          <w:szCs w:val="22"/>
        </w:rPr>
        <w:t xml:space="preserve">Dismounted soldier (US-led). </w:t>
      </w:r>
      <w:r>
        <w:rPr>
          <w:sz w:val="22"/>
          <w:szCs w:val="22"/>
        </w:rPr>
        <w:t xml:space="preserve">The US Army’s IVAS (militarized HoloLens, up to US$22B) was novated to Anduril in 2025; Anduril owns it but builds no further IVAS units (Azure remains preferred cloud). Its successor, Soldier Borne Mission Command (SBMC), drew ~US$354M (Anduril ~US$159M with Meta; Rivet ~US$195M), with Elbit America added; Anduril also self-funds EagleEye. First scaled SBMC delivery targets 2027.</w:t>
      </w:r>
    </w:p>
    <w:p>
      <w:pPr>
        <w:spacing w:after="140" w:before="0" w:line="276"/>
      </w:pPr>
      <w:r>
        <w:rPr>
          <w:b/>
          <w:bCs/>
          <w:sz w:val="22"/>
          <w:szCs w:val="22"/>
        </w:rPr>
        <w:t xml:space="preserve">Aviation HMDs (inherently multinational). </w:t>
      </w:r>
      <w:r>
        <w:rPr>
          <w:sz w:val="22"/>
          <w:szCs w:val="22"/>
        </w:rPr>
        <w:t xml:space="preserve">The F-35 Gen III HMDS — by Collins Elbit Vision Systems, a US Collins Aerospace / Israeli Elbit joint venture (~30 years’ heritage) — is the pilot’s primary display and is fielded across the ~20 F-35 partner nations. BAE Systems’ Striker II (UK; 40° FOV, color, integrated night vision) equips Typhoon/Gripen; Thales (France; TopOwl, Scorpion — the latter using Lumus waveguides) serves Rafale and rotary fleets; Elbit (Israel) exports X-Sight, Iron Vision (“see-through armor” for vehicles) and Zero-G+ globally.</w:t>
      </w:r>
    </w:p>
    <w:p>
      <w:pPr>
        <w:spacing w:after="140" w:before="0" w:line="276"/>
      </w:pPr>
      <w:r>
        <w:rPr>
          <w:b/>
          <w:bCs/>
          <w:sz w:val="22"/>
          <w:szCs w:val="22"/>
        </w:rPr>
        <w:t xml:space="preserve">Allied adoption &amp; weapon optics. </w:t>
      </w:r>
      <w:r>
        <w:rPr>
          <w:sz w:val="22"/>
          <w:szCs w:val="22"/>
        </w:rPr>
        <w:t xml:space="preserve">The UK and South Korea already use XR at scale (training, aircraft maintenance); European forces are adopting it for logistics and sustainment. Vortex’s XM157 (US Army NGSW-Fire Control; up to US$2.7B / 250,000 units) overlays a display, rangefinder, and ballistic solver and links to IVAS-class headsets. Because defense is export-controlled and sovereignty-driven, durability here is high but fragments by nation — favoring domestic primes per country.</w:t>
      </w:r>
    </w:p>
    <w:p>
      <w:pPr>
        <w:pStyle w:val="Heading2"/>
        <w:spacing w:after="110" w:before="220"/>
      </w:pPr>
      <w:r>
        <w:rPr>
          <w:rFonts w:ascii="Arial" w:cs="Arial" w:eastAsia="Arial" w:hAnsi="Arial"/>
          <w:b/>
          <w:bCs/>
          <w:color w:val="1F3864"/>
          <w:sz w:val="26"/>
          <w:szCs w:val="26"/>
        </w:rPr>
        <w:t xml:space="preserve">4.4  The global value chain — where money is captured</w:t>
      </w:r>
    </w:p>
    <w:p>
      <w:pPr>
        <w:pStyle w:val="ListParagraph"/>
        <w:numPr>
          <w:ilvl w:val="0"/>
          <w:numId w:val="2"/>
        </w:numPr>
        <w:spacing w:after="80" w:line="270"/>
      </w:pPr>
      <w:r>
        <w:rPr>
          <w:b/>
          <w:bCs/>
          <w:sz w:val="22"/>
          <w:szCs w:val="22"/>
        </w:rPr>
        <w:t xml:space="preserve">Optics / waveguides — </w:t>
      </w:r>
      <w:r>
        <w:rPr>
          <w:sz w:val="22"/>
          <w:szCs w:val="22"/>
        </w:rPr>
        <w:t xml:space="preserve">Israel’s Lumus (reflective/geometric; powers Meta Ray-Ban Display, Thales Scorpion, Lenovo, surgical systems), US Vuzix and Avegant (light engines), Finland’s Dispelix, France’s Optinvent, UK’s WaveOptics (Snap), plus optical glass from Germany’s Schott and Zeiss and Chinese suppliers (Crystal-Optech). Specialized, dual-use, slow to commoditize.</w:t>
      </w:r>
    </w:p>
    <w:p>
      <w:pPr>
        <w:pStyle w:val="ListParagraph"/>
        <w:numPr>
          <w:ilvl w:val="0"/>
          <w:numId w:val="2"/>
        </w:numPr>
        <w:spacing w:after="80" w:line="270"/>
      </w:pPr>
      <w:r>
        <w:rPr>
          <w:b/>
          <w:bCs/>
          <w:sz w:val="22"/>
          <w:szCs w:val="22"/>
        </w:rPr>
        <w:t xml:space="preserve">Silicon — </w:t>
      </w:r>
      <w:r>
        <w:rPr>
          <w:sz w:val="22"/>
          <w:szCs w:val="22"/>
        </w:rPr>
        <w:t xml:space="preserve">Qualcomm (Snapdragon XR / AR1) is the near-default Western compute layer (fabricated at Taiwan’s TSMC); China is building domestic alternatives (Huawei) under export controls. High scale-economy moat.</w:t>
      </w:r>
    </w:p>
    <w:p>
      <w:pPr>
        <w:pStyle w:val="ListParagraph"/>
        <w:numPr>
          <w:ilvl w:val="0"/>
          <w:numId w:val="2"/>
        </w:numPr>
        <w:spacing w:after="80" w:line="270"/>
      </w:pPr>
      <w:r>
        <w:rPr>
          <w:b/>
          <w:bCs/>
          <w:sz w:val="22"/>
          <w:szCs w:val="22"/>
        </w:rPr>
        <w:t xml:space="preserve">Operating system / AI assistant — </w:t>
      </w:r>
      <w:r>
        <w:rPr>
          <w:sz w:val="22"/>
          <w:szCs w:val="22"/>
        </w:rPr>
        <w:t xml:space="preserve">Android XR (Google), visionOS (Apple), Snap OS, Meta’s stack in the West; HarmonyOS and domestic AI backends in China. The deepest, most winner-take-most layer — and the clearest line of ecosystem bifurcation.</w:t>
      </w:r>
    </w:p>
    <w:p>
      <w:pPr>
        <w:pStyle w:val="ListParagraph"/>
        <w:numPr>
          <w:ilvl w:val="0"/>
          <w:numId w:val="2"/>
        </w:numPr>
        <w:spacing w:after="80" w:line="270"/>
      </w:pPr>
      <w:r>
        <w:rPr>
          <w:b/>
          <w:bCs/>
          <w:sz w:val="22"/>
          <w:szCs w:val="22"/>
        </w:rPr>
        <w:t xml:space="preserve">Applications &amp; developer ecosystem — </w:t>
      </w:r>
      <w:r>
        <w:rPr>
          <w:sz w:val="22"/>
          <w:szCs w:val="22"/>
        </w:rPr>
        <w:t xml:space="preserve">network effects compound here; thin today, decisive over the horizon, and likely to split West vs. China.</w:t>
      </w:r>
    </w:p>
    <w:p>
      <w:pPr>
        <w:pStyle w:val="ListParagraph"/>
        <w:numPr>
          <w:ilvl w:val="0"/>
          <w:numId w:val="2"/>
        </w:numPr>
        <w:spacing w:after="80" w:line="270"/>
      </w:pPr>
      <w:r>
        <w:rPr>
          <w:b/>
          <w:bCs/>
          <w:sz w:val="22"/>
          <w:szCs w:val="22"/>
        </w:rPr>
        <w:t xml:space="preserve">Hardware OEM / ODM — </w:t>
      </w:r>
      <w:r>
        <w:rPr>
          <w:sz w:val="22"/>
          <w:szCs w:val="22"/>
        </w:rPr>
        <w:t xml:space="preserve">global device brands plus assemblers (Taiwan’s Quanta; China’s broad supply base). The most contested, least durable layer.</w:t>
      </w:r>
    </w:p>
    <w:p>
      <w:pPr>
        <w:pStyle w:val="ListParagraph"/>
        <w:numPr>
          <w:ilvl w:val="0"/>
          <w:numId w:val="2"/>
        </w:numPr>
        <w:spacing w:after="80" w:line="270"/>
      </w:pPr>
      <w:r>
        <w:rPr>
          <w:b/>
          <w:bCs/>
          <w:sz w:val="22"/>
          <w:szCs w:val="22"/>
        </w:rPr>
        <w:t xml:space="preserve">Systems integration (defense) — </w:t>
      </w:r>
      <w:r>
        <w:rPr>
          <w:sz w:val="22"/>
          <w:szCs w:val="22"/>
        </w:rPr>
        <w:t xml:space="preserve">Anduril (Lattice) and national primes (Collins, BAE, Thales, Elbit). Deep but politically and nationally bounded moats.</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5.  Regional Deep-Dives</w:t>
      </w:r>
    </w:p>
    <w:p>
      <w:pPr>
        <w:spacing w:after="160" w:line="276"/>
      </w:pPr>
      <w:r>
        <w:rPr>
          <w:i/>
          <w:iCs/>
          <w:color w:val="595959"/>
          <w:sz w:val="22"/>
          <w:szCs w:val="22"/>
        </w:rPr>
        <w:t xml:space="preserve">Each region competes on a different layer and faces a different durability profile. Treating them as one market obscures where value actually accrues.</w:t>
      </w:r>
    </w:p>
    <w:p>
      <w:pPr>
        <w:pStyle w:val="Heading2"/>
        <w:spacing w:after="110" w:before="220"/>
      </w:pPr>
      <w:r>
        <w:rPr>
          <w:rFonts w:ascii="Arial" w:cs="Arial" w:eastAsia="Arial" w:hAnsi="Arial"/>
          <w:b/>
          <w:bCs/>
          <w:color w:val="1F3864"/>
          <w:sz w:val="26"/>
          <w:szCs w:val="26"/>
        </w:rPr>
        <w:t xml:space="preserve">5.1  North America</w:t>
      </w:r>
    </w:p>
    <w:p>
      <w:pPr>
        <w:spacing w:after="140" w:before="0" w:line="276"/>
      </w:pPr>
      <w:r>
        <w:rPr>
          <w:sz w:val="22"/>
          <w:szCs w:val="22"/>
        </w:rPr>
        <w:t xml:space="preserve">The value-capture center of gravity. North America owns the most durable layers: the consumer platform/OS and AI-assistant war (Meta, Apple, Google), the dominant Western silicon (Qualcomm), the cloud backbone (Microsoft Azure), and the defense programs (Anduril, Rivet, Collins, Vortex) backed by the deepest capital markets and government funding (DoD, DARPA). Enterprise specialists (Magic Leap, Vuzix, RealWear) and new consumer entrants (Snap, Amazon) round out the field. Net durability: highest on platform and defense, but exposed to a permissive-but-litigious privacy environment and to the goggle plateau in MR.</w:t>
      </w:r>
    </w:p>
    <w:p>
      <w:pPr>
        <w:pStyle w:val="Heading2"/>
        <w:spacing w:after="110" w:before="220"/>
      </w:pPr>
      <w:r>
        <w:rPr>
          <w:rFonts w:ascii="Arial" w:cs="Arial" w:eastAsia="Arial" w:hAnsi="Arial"/>
          <w:b/>
          <w:bCs/>
          <w:color w:val="1F3864"/>
          <w:sz w:val="26"/>
          <w:szCs w:val="26"/>
        </w:rPr>
        <w:t xml:space="preserve">5.2  Greater China</w:t>
      </w:r>
    </w:p>
    <w:p>
      <w:pPr>
        <w:spacing w:after="140" w:before="0" w:line="276"/>
      </w:pPr>
      <w:r>
        <w:rPr>
          <w:sz w:val="22"/>
          <w:szCs w:val="22"/>
        </w:rPr>
        <w:t xml:space="preserve">The volume and velocity center of gravity — on a separate stack. China ships the most consumer AR glasses and is growing fastest: AI-glasses sales reportedly rose ~80% year-on-year in Shenzhen, with China shipments estimated near 2.75M units in 2025 (IDC put Chinese shipment growth at ~62%). The cast spans pure-play leaders (XReal, RayNeo, Rokid, INMO, Viture) and entering giants (Xiaomi, Huawei, Alibaba, Baidu), backed by a strengthening domestic micro-OLED and waveguide supply base. The durability story is structural: a different platform stack (limited Google-services availability, HarmonyOS, domestic AI backends), strong state support, a partially closed home market, and data-localization rules — which both protect domestic champions and limit their Western reach. Net durability: high at home and in price/volume; contested abroad on trust, data routing, and platform access.</w:t>
      </w:r>
    </w:p>
    <w:p>
      <w:pPr>
        <w:pStyle w:val="Heading2"/>
        <w:spacing w:after="110" w:before="220"/>
      </w:pPr>
      <w:r>
        <w:rPr>
          <w:rFonts w:ascii="Arial" w:cs="Arial" w:eastAsia="Arial" w:hAnsi="Arial"/>
          <w:b/>
          <w:bCs/>
          <w:color w:val="1F3864"/>
          <w:sz w:val="26"/>
          <w:szCs w:val="26"/>
        </w:rPr>
        <w:t xml:space="preserve">5.3  Europe</w:t>
      </w:r>
    </w:p>
    <w:p>
      <w:pPr>
        <w:spacing w:after="140" w:before="0" w:line="276"/>
      </w:pPr>
      <w:r>
        <w:rPr>
          <w:sz w:val="22"/>
          <w:szCs w:val="22"/>
        </w:rPr>
        <w:t xml:space="preserve">The brand, materials, and regulation center of gravity. Europe rarely fields the dominant consumer device, but it owns layers others depend on: EssilorLuxottica (France/Italy) supplies the eyewear brand and global optical retail that anchors Meta’s consumer moat; Schott and Zeiss (Germany) supply optical glass and components; Varjo (Finland), Dassault Systèmes (France), TeamViewer and Holo-Light (Germany/Austria), with SAP/Siemens, lead industrial AR under Industrie 4.0; and BAE (UK) and Thales (France) are aviation-HMD primes. Crucially, Europe is the global regulatory pace-setter: the EU AI Act (fully applicable 2 August 2026) plus GDPR set the strictest constraints on the camera/biometric features central to consumer AR, effectively defining the EU-compliant feature set the rest of the world must build toward to sell here. Net durability: durable component, brand, and industrial niches; a regulatory lever that shapes the whole category.</w:t>
      </w:r>
    </w:p>
    <w:p>
      <w:pPr>
        <w:pStyle w:val="Heading2"/>
        <w:spacing w:after="110" w:before="220"/>
      </w:pPr>
      <w:r>
        <w:rPr>
          <w:rFonts w:ascii="Arial" w:cs="Arial" w:eastAsia="Arial" w:hAnsi="Arial"/>
          <w:b/>
          <w:bCs/>
          <w:color w:val="1F3864"/>
          <w:sz w:val="26"/>
          <w:szCs w:val="26"/>
        </w:rPr>
        <w:t xml:space="preserve">5.4  Asia-Pacific (ex-China): Korea, Japan, India, SEA</w:t>
      </w:r>
    </w:p>
    <w:p>
      <w:pPr>
        <w:spacing w:after="140" w:before="0" w:line="276"/>
      </w:pPr>
      <w:r>
        <w:rPr>
          <w:sz w:val="22"/>
          <w:szCs w:val="22"/>
        </w:rPr>
        <w:t xml:space="preserve">The platform-hardware and component depth center of gravity. South Korea’s Samsung is the West’s flagship Android XR hardware partner (Galaxy XR shipping; Galaxy Glasses to follow), with LG adjacent. Japan contributes optics and components — Sony (displays, spatial hardware, content), Seiko Epson (Moverio), Ricoh, and TDK (which acquired AI-glasses-chip maker SoftEye) — plus deep manufacturing. India is primarily a fast-growing demand and software-services market; Southeast Asia adds assembly capacity. Net durability: aligned to the Western stack, with durable component and manufacturing positions but few independent platform plays.</w:t>
      </w:r>
    </w:p>
    <w:p>
      <w:pPr>
        <w:pStyle w:val="Heading2"/>
        <w:spacing w:after="110" w:before="220"/>
      </w:pPr>
      <w:r>
        <w:rPr>
          <w:rFonts w:ascii="Arial" w:cs="Arial" w:eastAsia="Arial" w:hAnsi="Arial"/>
          <w:b/>
          <w:bCs/>
          <w:color w:val="1F3864"/>
          <w:sz w:val="26"/>
          <w:szCs w:val="26"/>
        </w:rPr>
        <w:t xml:space="preserve">5.5  Israel</w:t>
      </w:r>
    </w:p>
    <w:p>
      <w:pPr>
        <w:spacing w:after="140" w:before="0" w:line="276"/>
      </w:pPr>
      <w:r>
        <w:rPr>
          <w:sz w:val="22"/>
          <w:szCs w:val="22"/>
        </w:rPr>
        <w:t xml:space="preserve">Small footprint, outsized leverage — the dual-use IP center of gravity. Lumus is a leading reflective-waveguide developer whose optics sit inside the Meta Ray-Ban Display, Thales’ Scorpion HMD, Lenovo’s ThinkReality, and surgical systems — with manufacturing via Germany’s Schott and Taiwan’s Quanta. Elbit Systems is a global defense-optics prime (F-35 HMDS via the Collins JV, X-Sight, Iron Vision). Medical and assistive AR (Augmedics, OrCam) and sports AR (Everysight) add depth. Net durability: among the most defensible in the world — cornered component IP and certified defense capability that are hard to replicate and sell into every arena and region.</w:t>
      </w:r>
    </w:p>
    <w:p>
      <w:pPr>
        <w:pStyle w:val="Heading2"/>
        <w:spacing w:after="110" w:before="220"/>
      </w:pPr>
      <w:r>
        <w:rPr>
          <w:rFonts w:ascii="Arial" w:cs="Arial" w:eastAsia="Arial" w:hAnsi="Arial"/>
          <w:b/>
          <w:bCs/>
          <w:color w:val="1F3864"/>
          <w:sz w:val="26"/>
          <w:szCs w:val="26"/>
        </w:rPr>
        <w:t xml:space="preserve">5.6  Middle East &amp; Rest of World</w:t>
      </w:r>
    </w:p>
    <w:p>
      <w:pPr>
        <w:spacing w:after="140" w:before="0" w:line="276"/>
      </w:pPr>
      <w:r>
        <w:rPr>
          <w:sz w:val="22"/>
          <w:szCs w:val="22"/>
        </w:rPr>
        <w:t xml:space="preserve">A demand-and-capital center of gravity rather than a supply one. Gulf states (Saudi Arabia, UAE, Qatar) are sovereign-funded adopters — smart-city, tourism, training, and defense procurement — and a growing source of investment capital into AR/XR firms globally. Latin America, Africa, and other emerging markets are early-stage adopters. Net durability: limited supply-side defensibility, but strategically important as buyers and funders, and as a swing factor in where Western vs. Chinese ecosystems gain ground.</w:t>
      </w:r>
    </w:p>
    <w:p>
      <w:pPr>
        <w:pStyle w:val="Heading1"/>
        <w:pBdr>
          <w:bottom w:val="single" w:color="2E75B6" w:sz="8" w:space="4"/>
        </w:pBdr>
        <w:spacing w:after="160" w:before="320"/>
      </w:pPr>
      <w:r>
        <w:rPr>
          <w:rFonts w:ascii="Arial" w:cs="Arial" w:eastAsia="Arial" w:hAnsi="Arial"/>
          <w:b/>
          <w:bCs/>
          <w:color w:val="1F3864"/>
          <w:sz w:val="32"/>
          <w:szCs w:val="32"/>
        </w:rPr>
        <w:t xml:space="preserve">6.  Market Durability Analysis</w:t>
      </w:r>
    </w:p>
    <w:p>
      <w:pPr>
        <w:pStyle w:val="Heading2"/>
        <w:spacing w:after="110" w:before="220"/>
      </w:pPr>
      <w:r>
        <w:rPr>
          <w:rFonts w:ascii="Arial" w:cs="Arial" w:eastAsia="Arial" w:hAnsi="Arial"/>
          <w:b/>
          <w:bCs/>
          <w:color w:val="1F3864"/>
          <w:sz w:val="26"/>
          <w:szCs w:val="26"/>
        </w:rPr>
        <w:t xml:space="preserve">6.1  What “durability” means here</w:t>
      </w:r>
    </w:p>
    <w:p>
      <w:pPr>
        <w:spacing w:after="140" w:before="0" w:line="276"/>
      </w:pPr>
      <w:r>
        <w:rPr>
          <w:sz w:val="22"/>
          <w:szCs w:val="22"/>
        </w:rPr>
        <w:t xml:space="preserve">Two senses: (1) </w:t>
      </w:r>
      <w:r>
        <w:rPr>
          <w:b/>
          <w:bCs/>
          <w:sz w:val="22"/>
          <w:szCs w:val="22"/>
        </w:rPr>
        <w:t xml:space="preserve">market durability</w:t>
      </w:r>
      <w:r>
        <w:rPr>
          <w:sz w:val="22"/>
          <w:szCs w:val="22"/>
        </w:rPr>
        <w:t xml:space="preserve"> — structural attractiveness and persistence of demand in each arena and region; and (2) </w:t>
      </w:r>
      <w:r>
        <w:rPr>
          <w:b/>
          <w:bCs/>
          <w:sz w:val="22"/>
          <w:szCs w:val="22"/>
        </w:rPr>
        <w:t xml:space="preserve">position durability</w:t>
      </w:r>
      <w:r>
        <w:rPr>
          <w:sz w:val="22"/>
          <w:szCs w:val="22"/>
        </w:rPr>
        <w:t xml:space="preserve"> — defensibility of a competitor’s advantage. A market can be durable while positions inside it are fragile (consumer hardware, anywhere), and a market can carry political risk while positions are sticky (defense). Geography now modifies both: the same layer can be durable in one region and contested in another.</w:t>
      </w:r>
    </w:p>
    <w:p>
      <w:pPr>
        <w:pStyle w:val="Heading2"/>
        <w:spacing w:after="110" w:before="220"/>
      </w:pPr>
      <w:r>
        <w:rPr>
          <w:rFonts w:ascii="Arial" w:cs="Arial" w:eastAsia="Arial" w:hAnsi="Arial"/>
          <w:b/>
          <w:bCs/>
          <w:color w:val="1F3864"/>
          <w:sz w:val="26"/>
          <w:szCs w:val="26"/>
        </w:rPr>
        <w:t xml:space="preserve">6.2  Industry structure — Five Forces by arena (with regional notes)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580"/>
        <w:gridCol w:w="2580"/>
        <w:gridCol w:w="2580"/>
      </w:tblGrid>
      <w:tr>
        <w:trPr>
          <w:tblHeader/>
        </w:trPr>
        <w:tc>
          <w:tcPr>
            <w:tcW w:type="dxa" w:w="16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Force</w:t>
            </w:r>
          </w:p>
        </w:tc>
        <w:tc>
          <w:tcPr>
            <w:tcW w:type="dxa" w:w="25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Consumer</w:t>
            </w:r>
          </w:p>
        </w:tc>
        <w:tc>
          <w:tcPr>
            <w:tcW w:type="dxa" w:w="25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Enterprise</w:t>
            </w:r>
          </w:p>
        </w:tc>
        <w:tc>
          <w:tcPr>
            <w:tcW w:type="dxa" w:w="25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Defense</w:t>
            </w:r>
          </w:p>
        </w:tc>
      </w:tr>
      <w:tr>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Rivalry</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Very high; intensified by China cluster</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Moderate; specialist niches</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Low; oligopoly / sole-source per nation</w:t>
            </w:r>
          </w:p>
        </w:tc>
      </w:tr>
      <w:tr>
        <w:tc>
          <w:tcPr>
            <w:tcW w:type="dxa" w:w="162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Buyer power</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High; price-sensitive (acute in China)</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Moderate; falls once embedded</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High in award, sticky after (monopsony)</w:t>
            </w:r>
          </w:p>
        </w:tc>
      </w:tr>
      <w:tr>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Supplier power</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Concentrated (Qualcomm, Lumus, Schott)</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Concentrated (few rugged OEMs)</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Concentrated; national sourcing mandates</w:t>
            </w:r>
          </w:p>
        </w:tc>
      </w:tr>
      <w:tr>
        <w:tc>
          <w:tcPr>
            <w:tcW w:type="dxa" w:w="162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Barriers to entry</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Rising (platform, brand, AI, regulation)</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Moderate (certification, software)</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Very high (certification, clearances, export control)</w:t>
            </w:r>
          </w:p>
        </w:tc>
      </w:tr>
      <w:tr>
        <w:tc>
          <w:tcPr>
            <w:tcW w:type="dxa" w:w="1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Substitutes</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High — the smartphone</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Moderate — tablets, manuals</w:t>
            </w:r>
          </w:p>
        </w:tc>
        <w:tc>
          <w:tcPr>
            <w:tcW w:type="dxa" w:w="25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Low — few alternatives</w:t>
            </w:r>
          </w:p>
        </w:tc>
      </w:tr>
      <w:tr>
        <w:tc>
          <w:tcPr>
            <w:tcW w:type="dxa" w:w="162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Net attractiveness</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Huge prize, brutal economics, splitting by region</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Attractive but capped TAM</w:t>
            </w:r>
          </w:p>
        </w:tc>
        <w:tc>
          <w:tcPr>
            <w:tcW w:type="dxa" w:w="25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Durable; political/sovereignty risk</w:t>
            </w:r>
          </w:p>
        </w:tc>
      </w:tr>
    </w:tbl>
    <w:p>
      <w:pPr>
        <w:pStyle w:val="Heading2"/>
        <w:spacing w:after="110" w:before="220"/>
      </w:pPr>
      <w:r>
        <w:rPr>
          <w:rFonts w:ascii="Arial" w:cs="Arial" w:eastAsia="Arial" w:hAnsi="Arial"/>
          <w:b/>
          <w:bCs/>
          <w:color w:val="1F3864"/>
          <w:sz w:val="26"/>
          <w:szCs w:val="26"/>
        </w:rPr>
        <w:t xml:space="preserve">6.3  Sources of sustainable advantage — global players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60"/>
        <w:gridCol w:w="36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Player / layer</w:t>
            </w:r>
          </w:p>
        </w:tc>
        <w:tc>
          <w:tcPr>
            <w:tcW w:type="dxa" w:w="32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Primary power(s)</w:t>
            </w:r>
          </w:p>
        </w:tc>
        <w:tc>
          <w:tcPr>
            <w:tcW w:type="dxa" w:w="36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Durability read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Apple (visionOS)</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Brand, switching costs, scale, cornered content</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Very durable — contingent on shipping glasses</w:t>
            </w:r>
          </w:p>
        </w:tc>
      </w:tr>
      <w:tr>
        <w:tc>
          <w:tcPr>
            <w:tcW w:type="dxa" w:w="2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Google–Samsung–Qualcomm (Android XR)</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Network effects, scale economies</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Potentially the most durable Western platform</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Meta</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Scale, network effects, co-opted Ray-Ban brand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Durable; brand/retail moat hard to copy</w:t>
            </w:r>
          </w:p>
        </w:tc>
      </w:tr>
      <w:tr>
        <w:tc>
          <w:tcPr>
            <w:tcW w:type="dxa" w:w="2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China cluster (XReal, RayNeo, Rokid, Xiaomi, Huawei)</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Scale economies, state support, cornered supply chain, counter-positioning on price</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Durable at home; trust/access-limited abroad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EssilorLuxottica</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Brand, cornered resource (retail/lens manufacturing)</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Very durable; the West’s distribution gatekeeper</w:t>
            </w:r>
          </w:p>
        </w:tc>
      </w:tr>
      <w:tr>
        <w:tc>
          <w:tcPr>
            <w:tcW w:type="dxa" w:w="2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Lumus (Israel)</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Cornered resource + process power (waveguide IP)</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Highly durable, dual-use component moat</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Anduril (US)</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Counter-positioning, cornered resource (Lattice, IVAS), procurement lock-in</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Very durable in US defense; politically exposed</w:t>
            </w:r>
          </w:p>
        </w:tc>
      </w:tr>
      <w:tr>
        <w:tc>
          <w:tcPr>
            <w:tcW w:type="dxa" w:w="2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Elbit / Thales / BAE</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Switching costs, process power, national incumbency</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Durable but nationally bounded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Microsoft</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Scale + cloud (Azure); exited hardware</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Durable infrastructure position by design</w:t>
            </w:r>
          </w:p>
        </w:tc>
      </w:tr>
      <w:tr>
        <w:tc>
          <w:tcPr>
            <w:tcW w:type="dxa" w:w="2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Vuzix / Avegant / Dispelix / Schott</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Process power, component IP, materials</w:t>
            </w:r>
          </w:p>
        </w:tc>
        <w:tc>
          <w:tcPr>
            <w:tcW w:type="dxa" w:w="3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Durable picks-and-shovels; scale-disadvantaged</w:t>
            </w:r>
          </w:p>
        </w:tc>
      </w:tr>
    </w:tbl>
    <w:p>
      <w:pPr>
        <w:pStyle w:val="Heading2"/>
        <w:spacing w:after="110" w:before="220"/>
      </w:pPr>
      <w:r>
        <w:rPr>
          <w:rFonts w:ascii="Arial" w:cs="Arial" w:eastAsia="Arial" w:hAnsi="Arial"/>
          <w:b/>
          <w:bCs/>
          <w:color w:val="1F3864"/>
          <w:sz w:val="26"/>
          <w:szCs w:val="26"/>
        </w:rPr>
        <w:t xml:space="preserve">6.4  Adoption-lifecycle positioning (with regional divergence)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Category</w:t>
            </w:r>
          </w:p>
        </w:tc>
        <w:tc>
          <w:tcPr>
            <w:tcW w:type="dxa" w:w="23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Lifecycle stage</w:t>
            </w:r>
          </w:p>
        </w:tc>
        <w:tc>
          <w:tcPr>
            <w:tcW w:type="dxa" w:w="4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Strategic implication</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Consumer AI/display glasses</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Crossing into early majority (China ahead)</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Land-grab window; ecosystem, brand, and region decide winners</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MR headsets</w:t>
            </w:r>
          </w:p>
        </w:tc>
        <w:tc>
          <w:tcPr>
            <w:tcW w:type="dxa" w:w="2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Early adopter / niche (plateauing)</w:t>
            </w:r>
          </w:p>
        </w:tc>
        <w:tc>
          <w:tcPr>
            <w:tcW w:type="dxa" w:w="4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Reposition to productivity; do not over-invest in goggles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Enterprise / industrial AR</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Early majority / mainstream</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Compete on switching costs and software, not specs</w:t>
            </w:r>
          </w:p>
        </w:tc>
      </w:tr>
      <w:tr>
        <w:tc>
          <w:tcPr>
            <w:tcW w:type="dxa" w:w="26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Aviation HMDs</w:t>
            </w:r>
          </w:p>
        </w:tc>
        <w:tc>
          <w:tcPr>
            <w:tcW w:type="dxa" w:w="2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Mature, incumbent-locked</w:t>
            </w:r>
          </w:p>
        </w:tc>
        <w:tc>
          <w:tcPr>
            <w:tcW w:type="dxa" w:w="4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Slow displacement; attack via adjacent capability</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Dismounted-soldier AR</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Development / trough</w:t>
            </w:r>
          </w:p>
        </w:tc>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Years from scale; bet on architecture and integration</w:t>
            </w:r>
          </w:p>
        </w:tc>
      </w:tr>
    </w:tbl>
    <w:p>
      <w:pPr>
        <w:pStyle w:val="Heading2"/>
        <w:spacing w:after="110" w:before="220"/>
      </w:pPr>
      <w:r>
        <w:rPr>
          <w:rFonts w:ascii="Arial" w:cs="Arial" w:eastAsia="Arial" w:hAnsi="Arial"/>
          <w:b/>
          <w:bCs/>
          <w:color w:val="1F3864"/>
          <w:sz w:val="26"/>
          <w:szCs w:val="26"/>
        </w:rPr>
        <w:t xml:space="preserve">6.5  Durability scorecard</w:t>
      </w:r>
    </w:p>
    <w:p>
      <w:pPr>
        <w:spacing w:after="140" w:before="0" w:line="276"/>
      </w:pPr>
      <w:r>
        <w:rPr>
          <w:sz w:val="22"/>
          <w:szCs w:val="22"/>
        </w:rPr>
        <w:t xml:space="preserve">Consolidated read across arenas, layers, and regions (qualitative: Low / Medium / High):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360"/>
        <w:gridCol w:w="1380"/>
        <w:gridCol w:w="2760"/>
        <w:gridCol w:w="1500"/>
      </w:tblGrid>
      <w:tr>
        <w:trPr>
          <w:tblHeader/>
        </w:trPr>
        <w:tc>
          <w:tcPr>
            <w:tcW w:type="dxa" w:w="23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Arena / layer / region</w:t>
            </w:r>
          </w:p>
        </w:tc>
        <w:tc>
          <w:tcPr>
            <w:tcW w:type="dxa" w:w="13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Moat depth</w:t>
            </w:r>
          </w:p>
        </w:tc>
        <w:tc>
          <w:tcPr>
            <w:tcW w:type="dxa" w:w="13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Switching costs</w:t>
            </w:r>
          </w:p>
        </w:tc>
        <w:tc>
          <w:tcPr>
            <w:tcW w:type="dxa" w:w="27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Principal durability risk</w:t>
            </w:r>
          </w:p>
        </w:tc>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Net</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Consumer hardware OEM (any region)</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Low</w:t>
            </w:r>
          </w:p>
        </w:tc>
        <w:tc>
          <w:tcPr>
            <w:tcW w:type="dxa" w:w="1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Low</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Commoditization; platform appropriation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Low</w:t>
            </w:r>
          </w:p>
        </w:tc>
      </w:tr>
      <w:tr>
        <w:tc>
          <w:tcPr>
            <w:tcW w:type="dxa" w:w="2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Consumer platform / OS (West)</w:t>
            </w:r>
          </w:p>
        </w:tc>
        <w:tc>
          <w:tcPr>
            <w:tcW w:type="dxa" w:w="1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c>
          <w:tcPr>
            <w:tcW w:type="dxa" w:w="13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High</w:t>
            </w:r>
          </w:p>
        </w:tc>
        <w:tc>
          <w:tcPr>
            <w:tcW w:type="dxa" w:w="27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Regulation (EU AI Act); platform war</w:t>
            </w:r>
          </w:p>
        </w:tc>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China consumer ecosystem</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Med-High</w:t>
            </w:r>
          </w:p>
        </w:tc>
        <w:tc>
          <w:tcPr>
            <w:tcW w:type="dxa" w:w="1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Med</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Trust/access abroad; decoupling</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Med-High</w:t>
            </w:r>
          </w:p>
        </w:tc>
      </w:tr>
      <w:tr>
        <w:tc>
          <w:tcPr>
            <w:tcW w:type="dxa" w:w="2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Brand &amp; distribution (EssilorLuxottica)</w:t>
            </w:r>
          </w:p>
        </w:tc>
        <w:tc>
          <w:tcPr>
            <w:tcW w:type="dxa" w:w="1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c>
          <w:tcPr>
            <w:tcW w:type="dxa" w:w="13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High</w:t>
            </w:r>
          </w:p>
        </w:tc>
        <w:tc>
          <w:tcPr>
            <w:tcW w:type="dxa" w:w="27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Partner concentration</w:t>
            </w:r>
          </w:p>
        </w:tc>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Component IP (optics/silicon)</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c>
          <w:tcPr>
            <w:tcW w:type="dxa" w:w="1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Med</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Geographic concentration; export control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r>
      <w:tr>
        <w:tc>
          <w:tcPr>
            <w:tcW w:type="dxa" w:w="2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Enterprise software platform</w:t>
            </w:r>
          </w:p>
        </w:tc>
        <w:tc>
          <w:tcPr>
            <w:tcW w:type="dxa" w:w="13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Med-High</w:t>
            </w:r>
          </w:p>
        </w:tc>
        <w:tc>
          <w:tcPr>
            <w:tcW w:type="dxa" w:w="138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High</w:t>
            </w:r>
          </w:p>
        </w:tc>
        <w:tc>
          <w:tcPr>
            <w:tcW w:type="dxa" w:w="27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Hardware-agnostic disruption</w:t>
            </w:r>
          </w:p>
        </w:tc>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Med-High</w:t>
            </w:r>
          </w:p>
        </w:tc>
      </w:tr>
      <w:tr>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Defense systems (per nation)</w:t>
            </w:r>
          </w:p>
        </w:tc>
        <w:tc>
          <w:tcPr>
            <w:tcW w:type="dxa" w:w="1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c>
          <w:tcPr>
            <w:tcW w:type="dxa" w:w="13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val="false"/>
                <w:bCs w:val="false"/>
                <w:color w:val="000000"/>
                <w:sz w:val="19"/>
                <w:szCs w:val="19"/>
              </w:rPr>
              <w:t xml:space="preserve">Very High</w:t>
            </w:r>
          </w:p>
        </w:tc>
        <w:tc>
          <w:tcPr>
            <w:tcW w:type="dxa" w:w="2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Budget / program / sovereignty shifts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jc w:val="center"/>
            </w:pPr>
            <w:r>
              <w:rPr>
                <w:rFonts w:ascii="Arial" w:cs="Arial" w:eastAsia="Arial" w:hAnsi="Arial"/>
                <w:b/>
                <w:bCs/>
                <w:color w:val="000000"/>
                <w:sz w:val="19"/>
                <w:szCs w:val="19"/>
              </w:rPr>
              <w:t xml:space="preserve">High</w:t>
            </w:r>
          </w:p>
        </w:tc>
      </w:tr>
    </w:tbl>
    <w:p>
      <w:pPr>
        <w:pStyle w:val="Heading1"/>
        <w:pBdr>
          <w:bottom w:val="single" w:color="2E75B6" w:sz="8" w:space="4"/>
        </w:pBdr>
        <w:spacing w:after="160" w:before="320"/>
      </w:pPr>
      <w:r>
        <w:rPr>
          <w:rFonts w:ascii="Arial" w:cs="Arial" w:eastAsia="Arial" w:hAnsi="Arial"/>
          <w:b/>
          <w:bCs/>
          <w:color w:val="1F3864"/>
          <w:sz w:val="32"/>
          <w:szCs w:val="32"/>
        </w:rPr>
        <w:t xml:space="preserve">7.  Structural Forces &amp; Systemic Risks</w:t>
      </w:r>
    </w:p>
    <w:p>
      <w:pPr>
        <w:spacing w:after="160" w:line="276"/>
      </w:pPr>
      <w:r>
        <w:rPr>
          <w:i/>
          <w:iCs/>
          <w:color w:val="595959"/>
          <w:sz w:val="22"/>
          <w:szCs w:val="22"/>
        </w:rPr>
        <w:t xml:space="preserve">These macro forces compress or extend durability across the whole space, independent of any single competitor’s execution. Two — regulatory divergence and technology sovereignty — are now first-order.</w:t>
      </w:r>
    </w:p>
    <w:p>
      <w:pPr>
        <w:spacing w:after="140" w:before="0" w:line="276"/>
      </w:pPr>
      <w:r>
        <w:rPr>
          <w:b/>
          <w:bCs/>
          <w:sz w:val="22"/>
          <w:szCs w:val="22"/>
        </w:rPr>
        <w:t xml:space="preserve">Regulatory divergence (now a first-class variable). </w:t>
      </w:r>
      <w:r>
        <w:rPr>
          <w:sz w:val="22"/>
          <w:szCs w:val="22"/>
        </w:rPr>
        <w:t xml:space="preserve">The EU AI Act entered force in August 2024, with prohibited practices live since February 2025 and full applicability on 2 August 2026; combined with GDPR it bans real-time public facial recognition by police (with narrow exceptions), workplace/school emotion recognition, and untargeted face-scraping, and requires a reinforced legal basis plus a Data Protection Impact Assessment for biometric features — directly gating the camera and recognition functions central to consumer AR. The US is permissive federally but exposed to state biometric laws (e.g., Illinois BIPA) and active political scrutiny of facial recognition on smart glasses. China is state-permissive on surveillance but enforces data-localization (PIPL). The practical consequence: a single global consumer feature set and data architecture is no longer viable — EU, US, and China builds must diverge.</w:t>
      </w:r>
    </w:p>
    <w:p>
      <w:pPr>
        <w:spacing w:after="140" w:before="0" w:line="276"/>
      </w:pPr>
      <w:r>
        <w:rPr>
          <w:b/>
          <w:bCs/>
          <w:sz w:val="22"/>
          <w:szCs w:val="22"/>
        </w:rPr>
        <w:t xml:space="preserve">Technology sovereignty &amp; supply concentration. </w:t>
      </w:r>
      <w:r>
        <w:rPr>
          <w:sz w:val="22"/>
          <w:szCs w:val="22"/>
        </w:rPr>
        <w:t xml:space="preserve">Western AR compute depends on Qualcomm (fabbed in Taiwan); optics depend on a concentrated set — Lumus (Israel) IP, Schott (Germany) glass, Quanta (Taiwan) and Malaysian assembly, with Chinese suppliers scaling. US–China export controls and US-only defense sourcing (e.g., XM157) pull the ecosystems apart, while China invests to localize silicon and displays. Expect two parallel supply chains; single-region exposure (Taiwan especially) is a systemic risk for all.</w:t>
      </w:r>
    </w:p>
    <w:p>
      <w:pPr>
        <w:spacing w:after="140" w:before="0" w:line="276"/>
      </w:pPr>
      <w:r>
        <w:rPr>
          <w:b/>
          <w:bCs/>
          <w:sz w:val="22"/>
          <w:szCs w:val="22"/>
        </w:rPr>
        <w:t xml:space="preserve">Form-factor convergence. </w:t>
      </w:r>
      <w:r>
        <w:rPr>
          <w:sz w:val="22"/>
          <w:szCs w:val="22"/>
        </w:rPr>
        <w:t xml:space="preserve">The collapse toward lightweight glasses strands goggle-centric investment globally and rewards whoever wins the glasses platform. Unresolved engineering gates — waveguide cost/yield, all-day battery, field-of-view, motion comfort — set the timing of the consumer inflection in every region.</w:t>
      </w:r>
    </w:p>
    <w:p>
      <w:pPr>
        <w:spacing w:after="140" w:before="0" w:line="276"/>
      </w:pPr>
      <w:r>
        <w:rPr>
          <w:b/>
          <w:bCs/>
          <w:sz w:val="22"/>
          <w:szCs w:val="22"/>
        </w:rPr>
        <w:t xml:space="preserve">Platform dependency &amp; ecosystem bifurcation. </w:t>
      </w:r>
      <w:r>
        <w:rPr>
          <w:sz w:val="22"/>
          <w:szCs w:val="22"/>
        </w:rPr>
        <w:t xml:space="preserve">Western device makers riding Android XR / visionOS face value appropriation by the platform owner; Chinese makers face access limits abroad. Independence requires owning a differentiated layer (assistant, optics, data/network) — or deliberately picking an ecosystem.</w:t>
      </w:r>
    </w:p>
    <w:p>
      <w:pPr>
        <w:spacing w:after="140" w:before="0" w:line="276"/>
      </w:pPr>
      <w:r>
        <w:rPr>
          <w:b/>
          <w:bCs/>
          <w:sz w:val="22"/>
          <w:szCs w:val="22"/>
        </w:rPr>
        <w:t xml:space="preserve">Defense political/budget/sovereignty risk. </w:t>
      </w:r>
      <w:r>
        <w:rPr>
          <w:sz w:val="22"/>
          <w:szCs w:val="22"/>
        </w:rPr>
        <w:t xml:space="preserve">Defense durability is institutional and national. The US Army zeroing out IVAS 1.2 procurement and re-allocating to SBMC shows how one restructuring resets positions; abroad, sovereignty and export rules fragment the market by country.</w:t>
      </w:r>
    </w:p>
    <w:p>
      <w:pPr>
        <w:spacing w:after="140" w:before="0" w:line="276"/>
      </w:pPr>
      <w:r>
        <w:rPr>
          <w:b/>
          <w:bCs/>
          <w:sz w:val="22"/>
          <w:szCs w:val="22"/>
        </w:rPr>
        <w:t xml:space="preserve">Category-definition immaturity. </w:t>
      </w:r>
      <w:r>
        <w:rPr>
          <w:sz w:val="22"/>
          <w:szCs w:val="22"/>
        </w:rPr>
        <w:t xml:space="preserve">Order-of-magnitude spreads in sizing — amplified by inconsistent regional accounting — mean share, TAM, and “winning” are moving targets. Favor flexible, optionality-preserving bets.</w:t>
      </w:r>
    </w:p>
    <w:p>
      <w:pPr>
        <w:pStyle w:val="Heading1"/>
        <w:pBdr>
          <w:bottom w:val="single" w:color="2E75B6" w:sz="8" w:space="4"/>
        </w:pBdr>
        <w:spacing w:after="160" w:before="320"/>
      </w:pPr>
      <w:r>
        <w:rPr>
          <w:rFonts w:ascii="Arial" w:cs="Arial" w:eastAsia="Arial" w:hAnsi="Arial"/>
          <w:b/>
          <w:bCs/>
          <w:color w:val="1F3864"/>
          <w:sz w:val="32"/>
          <w:szCs w:val="32"/>
        </w:rPr>
        <w:t xml:space="preserve">8.  Where Durable Value Pools Form Globally</w:t>
      </w:r>
    </w:p>
    <w:p>
      <w:pPr>
        <w:spacing w:after="140" w:before="0" w:line="276"/>
      </w:pPr>
      <w:r>
        <w:rPr>
          <w:sz w:val="22"/>
          <w:szCs w:val="22"/>
        </w:rPr>
        <w:t xml:space="preserve">Synthesizing structure, competition, and geography, the durable value pools are mostly not the device — and several are region-specific:</w:t>
      </w:r>
    </w:p>
    <w:p>
      <w:pPr>
        <w:pStyle w:val="ListParagraph"/>
        <w:numPr>
          <w:ilvl w:val="0"/>
          <w:numId w:val="3"/>
        </w:numPr>
        <w:spacing w:after="100" w:line="270"/>
      </w:pPr>
      <w:r>
        <w:rPr>
          <w:b/>
          <w:bCs/>
          <w:sz w:val="22"/>
          <w:szCs w:val="22"/>
        </w:rPr>
        <w:t xml:space="preserve">The platform / assistant layer (per ecosystem). </w:t>
      </w:r>
      <w:r>
        <w:rPr>
          <w:sz w:val="22"/>
          <w:szCs w:val="22"/>
        </w:rPr>
        <w:t xml:space="preserve">Whoever owns the OS, AI assistant, and app ecosystem earns compounding, winner-take-most rents — but likely two winners emerge, one Western and one Chinese. The single most valuable position in each ecosystem.</w:t>
      </w:r>
    </w:p>
    <w:p>
      <w:pPr>
        <w:pStyle w:val="ListParagraph"/>
        <w:numPr>
          <w:ilvl w:val="0"/>
          <w:numId w:val="3"/>
        </w:numPr>
        <w:spacing w:after="100" w:line="270"/>
      </w:pPr>
      <w:r>
        <w:rPr>
          <w:b/>
          <w:bCs/>
          <w:sz w:val="22"/>
          <w:szCs w:val="22"/>
        </w:rPr>
        <w:t xml:space="preserve">Component IP — the global picks-and-shovels. </w:t>
      </w:r>
      <w:r>
        <w:rPr>
          <w:sz w:val="22"/>
          <w:szCs w:val="22"/>
        </w:rPr>
        <w:t xml:space="preserve">Waveguides (Lumus, Vuzix, Dispelix), light engines (Avegant), optical glass (Schott, Zeiss), and XR silicon (Qualcomm) are slow to commoditize, dual-use, and sell into every arena and region — durable precisely because they are layer-horizontal.</w:t>
      </w:r>
    </w:p>
    <w:p>
      <w:pPr>
        <w:pStyle w:val="ListParagraph"/>
        <w:numPr>
          <w:ilvl w:val="0"/>
          <w:numId w:val="3"/>
        </w:numPr>
        <w:spacing w:after="100" w:line="270"/>
      </w:pPr>
      <w:r>
        <w:rPr>
          <w:b/>
          <w:bCs/>
          <w:sz w:val="22"/>
          <w:szCs w:val="22"/>
        </w:rPr>
        <w:t xml:space="preserve">Brand and distribution as a co-opted moat. </w:t>
      </w:r>
      <w:r>
        <w:rPr>
          <w:sz w:val="22"/>
          <w:szCs w:val="22"/>
        </w:rPr>
        <w:t xml:space="preserve">EssilorLuxottica’s eyewear brand and retail network is the West’s hardest-to-replicate consumer moat; analogous distribution control matters in China (carrier/e-commerce ecosystems).</w:t>
      </w:r>
    </w:p>
    <w:p>
      <w:pPr>
        <w:pStyle w:val="ListParagraph"/>
        <w:numPr>
          <w:ilvl w:val="0"/>
          <w:numId w:val="3"/>
        </w:numPr>
        <w:spacing w:after="100" w:line="270"/>
      </w:pPr>
      <w:r>
        <w:rPr>
          <w:b/>
          <w:bCs/>
          <w:sz w:val="22"/>
          <w:szCs w:val="22"/>
        </w:rPr>
        <w:t xml:space="preserve">Workflow lock-in (enterprise) and program incumbency (defense). </w:t>
      </w:r>
      <w:r>
        <w:rPr>
          <w:sz w:val="22"/>
          <w:szCs w:val="22"/>
        </w:rPr>
        <w:t xml:space="preserve">Certifications, integrated workflows, multi-year contracts, and sensor-fusion/network stacks create high switching costs — deep and sticky, though defense incumbency is bounded by nation.</w:t>
      </w:r>
    </w:p>
    <w:p>
      <w:pPr>
        <w:spacing w:after="140" w:before="0" w:line="276"/>
      </w:pPr>
      <w:r>
        <w:rPr>
          <w:b/>
          <w:bCs/>
          <w:sz w:val="21"/>
          <w:szCs w:val="21"/>
        </w:rPr>
        <w:t xml:space="preserve">Cross-cutting hedges — dual-use and multi-ecosystem reach. </w:t>
      </w:r>
      <w:r>
        <w:rPr>
          <w:color w:val="595959"/>
          <w:sz w:val="21"/>
          <w:szCs w:val="21"/>
        </w:rPr>
        <w:t xml:space="preserve">R&amp;D crosses arenas (HoloLens→IVAS; Meta→Anduril/SBMC; Lumus→consumer + defense + medical) and the most resilient players can operate across both the Western and Chinese ecosystems, amortizing consumer-scale R&amp;D against defense-grade margins. Single-arena, single-region competitors are structurally disadvantaged.</w:t>
      </w:r>
    </w:p>
    <w:p>
      <w:pPr>
        <w:pStyle w:val="Heading1"/>
        <w:pBdr>
          <w:bottom w:val="single" w:color="2E75B6" w:sz="8" w:space="4"/>
        </w:pBdr>
        <w:spacing w:after="160" w:before="320"/>
      </w:pPr>
      <w:r>
        <w:rPr>
          <w:rFonts w:ascii="Arial" w:cs="Arial" w:eastAsia="Arial" w:hAnsi="Arial"/>
          <w:b/>
          <w:bCs/>
          <w:color w:val="1F3864"/>
          <w:sz w:val="32"/>
          <w:szCs w:val="32"/>
        </w:rPr>
        <w:t xml:space="preserve">9.  Strategic Implications &amp; Roadmap</w:t>
      </w:r>
    </w:p>
    <w:p>
      <w:pPr>
        <w:spacing w:after="140" w:before="0" w:line="276"/>
      </w:pPr>
      <w:r>
        <w:rPr>
          <w:sz w:val="22"/>
          <w:szCs w:val="22"/>
        </w:rPr>
        <w:t xml:space="preserve">A three-horizon view, now with explicit regional and regulatory sequencing.</w:t>
      </w:r>
    </w:p>
    <w:p>
      <w:pPr>
        <w:pStyle w:val="Heading3"/>
        <w:spacing w:after="90" w:before="160"/>
      </w:pPr>
      <w:r>
        <w:rPr>
          <w:rFonts w:ascii="Arial" w:cs="Arial" w:eastAsia="Arial" w:hAnsi="Arial"/>
          <w:b/>
          <w:bCs/>
          <w:color w:val="333333"/>
          <w:sz w:val="23"/>
          <w:szCs w:val="23"/>
        </w:rPr>
        <w:t xml:space="preserve">Horizon 1 — now to 2027:  Land, align, regionalize</w:t>
      </w:r>
    </w:p>
    <w:p>
      <w:pPr>
        <w:pStyle w:val="ListParagraph"/>
        <w:numPr>
          <w:ilvl w:val="0"/>
          <w:numId w:val="2"/>
        </w:numPr>
        <w:spacing w:after="80" w:line="270"/>
      </w:pPr>
      <w:r>
        <w:rPr>
          <w:b/>
          <w:bCs/>
          <w:sz w:val="22"/>
          <w:szCs w:val="22"/>
        </w:rPr>
        <w:t xml:space="preserve">Market state: </w:t>
      </w:r>
      <w:r>
        <w:rPr>
          <w:sz w:val="22"/>
          <w:szCs w:val="22"/>
        </w:rPr>
        <w:t xml:space="preserve">consumer AI/display glasses scaling (China ahead on volume); enterprise mainstream; defense in rapid prototyping (SBMC delivery targeted 2027); EU AI Act full applicability lands Aug 2026.</w:t>
      </w:r>
    </w:p>
    <w:p>
      <w:pPr>
        <w:pStyle w:val="ListParagraph"/>
        <w:numPr>
          <w:ilvl w:val="0"/>
          <w:numId w:val="2"/>
        </w:numPr>
        <w:spacing w:after="80" w:line="270"/>
      </w:pPr>
      <w:r>
        <w:rPr>
          <w:b/>
          <w:bCs/>
          <w:sz w:val="22"/>
          <w:szCs w:val="22"/>
        </w:rPr>
        <w:t xml:space="preserve">Imperative: </w:t>
      </w:r>
      <w:r>
        <w:rPr>
          <w:sz w:val="22"/>
          <w:szCs w:val="22"/>
        </w:rPr>
        <w:t xml:space="preserve">commit to a platform lane and a region strategy together; build EU-, US-, and (if entering) China-compliant variants from one architecture; secure geographically diversified optics/silicon supply; avoid orphaned hardware.</w:t>
      </w:r>
    </w:p>
    <w:p>
      <w:pPr>
        <w:pStyle w:val="Heading3"/>
        <w:spacing w:after="90" w:before="160"/>
      </w:pPr>
      <w:r>
        <w:rPr>
          <w:rFonts w:ascii="Arial" w:cs="Arial" w:eastAsia="Arial" w:hAnsi="Arial"/>
          <w:b/>
          <w:bCs/>
          <w:color w:val="333333"/>
          <w:sz w:val="23"/>
          <w:szCs w:val="23"/>
        </w:rPr>
        <w:t xml:space="preserve">Horizon 2 — 2027 to 2029:  Consolidate, deepen, and pick an ecosystem</w:t>
      </w:r>
    </w:p>
    <w:p>
      <w:pPr>
        <w:pStyle w:val="ListParagraph"/>
        <w:numPr>
          <w:ilvl w:val="0"/>
          <w:numId w:val="2"/>
        </w:numPr>
        <w:spacing w:after="80" w:line="270"/>
      </w:pPr>
      <w:r>
        <w:rPr>
          <w:b/>
          <w:bCs/>
          <w:sz w:val="22"/>
          <w:szCs w:val="22"/>
        </w:rPr>
        <w:t xml:space="preserve">Market state: </w:t>
      </w:r>
      <w:r>
        <w:rPr>
          <w:sz w:val="22"/>
          <w:szCs w:val="22"/>
        </w:rPr>
        <w:t xml:space="preserve">Western platform shakeout (Android XR vs. Apple vs. Meta); China ecosystem consolidates domestically; defense down-selects; weapon-optic ⇆ headset integration matures; decoupling deepens.</w:t>
      </w:r>
    </w:p>
    <w:p>
      <w:pPr>
        <w:pStyle w:val="ListParagraph"/>
        <w:numPr>
          <w:ilvl w:val="0"/>
          <w:numId w:val="2"/>
        </w:numPr>
        <w:spacing w:after="80" w:line="270"/>
      </w:pPr>
      <w:r>
        <w:rPr>
          <w:b/>
          <w:bCs/>
          <w:sz w:val="22"/>
          <w:szCs w:val="22"/>
        </w:rPr>
        <w:t xml:space="preserve">Imperative: </w:t>
      </w:r>
      <w:r>
        <w:rPr>
          <w:sz w:val="22"/>
          <w:szCs w:val="22"/>
        </w:rPr>
        <w:t xml:space="preserve">deepen ecosystem and switching-cost moats; differentiate on the AI assistant; decide West-only, China-only, or dual-track; acquire certification- or component-IP-moated specialists.</w:t>
      </w:r>
    </w:p>
    <w:p>
      <w:pPr>
        <w:pStyle w:val="Heading3"/>
        <w:spacing w:after="90" w:before="160"/>
      </w:pPr>
      <w:r>
        <w:rPr>
          <w:rFonts w:ascii="Arial" w:cs="Arial" w:eastAsia="Arial" w:hAnsi="Arial"/>
          <w:b/>
          <w:bCs/>
          <w:color w:val="333333"/>
          <w:sz w:val="23"/>
          <w:szCs w:val="23"/>
        </w:rPr>
        <w:t xml:space="preserve">Horizon 3 — 2029 and beyond:  Own a layer (in your ecosystem) or exit hardware</w:t>
      </w:r>
    </w:p>
    <w:p>
      <w:pPr>
        <w:pStyle w:val="ListParagraph"/>
        <w:numPr>
          <w:ilvl w:val="0"/>
          <w:numId w:val="2"/>
        </w:numPr>
        <w:spacing w:after="80" w:line="270"/>
      </w:pPr>
      <w:r>
        <w:rPr>
          <w:b/>
          <w:bCs/>
          <w:sz w:val="22"/>
          <w:szCs w:val="22"/>
        </w:rPr>
        <w:t xml:space="preserve">Market state: </w:t>
      </w:r>
      <w:r>
        <w:rPr>
          <w:sz w:val="22"/>
          <w:szCs w:val="22"/>
        </w:rPr>
        <w:t xml:space="preserve">true all-day glasses (slimmer, wider FOV, full-shift battery); potential smartphone-displacement dynamics; networked soldier systems at scale; two mature, partly incompatible ecosystems.</w:t>
      </w:r>
    </w:p>
    <w:p>
      <w:pPr>
        <w:pStyle w:val="ListParagraph"/>
        <w:numPr>
          <w:ilvl w:val="0"/>
          <w:numId w:val="2"/>
        </w:numPr>
        <w:spacing w:after="80" w:line="270"/>
      </w:pPr>
      <w:r>
        <w:rPr>
          <w:b/>
          <w:bCs/>
          <w:sz w:val="22"/>
          <w:szCs w:val="22"/>
        </w:rPr>
        <w:t xml:space="preserve">Imperative: </w:t>
      </w:r>
      <w:r>
        <w:rPr>
          <w:sz w:val="22"/>
          <w:szCs w:val="22"/>
        </w:rPr>
        <w:t xml:space="preserve">hold a durable layer — platform, component IP, brand/distribution, or national program incumbency — within your chosen ecosystem(s), or exit device manufacturing for software and services.</w:t>
      </w:r>
    </w:p>
    <w:p>
      <w:pPr>
        <w:pStyle w:val="Heading3"/>
        <w:spacing w:after="90" w:before="160"/>
      </w:pPr>
      <w:r>
        <w:rPr>
          <w:rFonts w:ascii="Arial" w:cs="Arial" w:eastAsia="Arial" w:hAnsi="Arial"/>
          <w:b/>
          <w:bCs/>
          <w:color w:val="333333"/>
          <w:sz w:val="23"/>
          <w:szCs w:val="23"/>
        </w:rPr>
        <w:t xml:space="preserve">Build / partner / buy — decision rule</w:t>
      </w:r>
    </w:p>
    <w:p>
      <w:pPr>
        <w:pStyle w:val="ListParagraph"/>
        <w:numPr>
          <w:ilvl w:val="0"/>
          <w:numId w:val="2"/>
        </w:numPr>
        <w:spacing w:after="80" w:line="270"/>
      </w:pPr>
      <w:r>
        <w:rPr>
          <w:b/>
          <w:bCs/>
          <w:sz w:val="22"/>
          <w:szCs w:val="22"/>
        </w:rPr>
        <w:t xml:space="preserve">Build </w:t>
      </w:r>
      <w:r>
        <w:rPr>
          <w:sz w:val="22"/>
          <w:szCs w:val="22"/>
        </w:rPr>
        <w:t xml:space="preserve">only where you can own a durable layer: proprietary optics/waveguide IP, an AI-assistant or OS, or a sensor-fusion/network stack.</w:t>
      </w:r>
    </w:p>
    <w:p>
      <w:pPr>
        <w:pStyle w:val="ListParagraph"/>
        <w:numPr>
          <w:ilvl w:val="0"/>
          <w:numId w:val="2"/>
        </w:numPr>
        <w:spacing w:after="80" w:line="270"/>
      </w:pPr>
      <w:r>
        <w:rPr>
          <w:b/>
          <w:bCs/>
          <w:sz w:val="22"/>
          <w:szCs w:val="22"/>
        </w:rPr>
        <w:t xml:space="preserve">Partner </w:t>
      </w:r>
      <w:r>
        <w:rPr>
          <w:sz w:val="22"/>
          <w:szCs w:val="22"/>
        </w:rPr>
        <w:t xml:space="preserve">for scale-dominated layers: silicon (Qualcomm), OS (Android XR / visionOS / Meta; HarmonyOS in China), and brand + retail (EssilorLuxottica or regional equivalents).</w:t>
      </w:r>
    </w:p>
    <w:p>
      <w:pPr>
        <w:pStyle w:val="ListParagraph"/>
        <w:numPr>
          <w:ilvl w:val="0"/>
          <w:numId w:val="2"/>
        </w:numPr>
        <w:spacing w:after="80" w:line="270"/>
      </w:pPr>
      <w:r>
        <w:rPr>
          <w:b/>
          <w:bCs/>
          <w:sz w:val="22"/>
          <w:szCs w:val="22"/>
        </w:rPr>
        <w:t xml:space="preserve">Buy </w:t>
      </w:r>
      <w:r>
        <w:rPr>
          <w:sz w:val="22"/>
          <w:szCs w:val="22"/>
        </w:rPr>
        <w:t xml:space="preserve">niche specialists with hard-to-build moats — rugged/hazardous or medical enterprise hardware, waveguide IP, or certified defense capability — as consolidation plays.</w:t>
      </w:r>
    </w:p>
    <w:p>
      <w:pPr>
        <w:pStyle w:val="Heading3"/>
        <w:spacing w:after="90" w:before="160"/>
      </w:pPr>
      <w:r>
        <w:rPr>
          <w:rFonts w:ascii="Arial" w:cs="Arial" w:eastAsia="Arial" w:hAnsi="Arial"/>
          <w:b/>
          <w:bCs/>
          <w:color w:val="333333"/>
          <w:sz w:val="23"/>
          <w:szCs w:val="23"/>
        </w:rPr>
        <w:t xml:space="preserve">Standards &amp; sovereignty posture</w:t>
      </w:r>
    </w:p>
    <w:p>
      <w:pPr>
        <w:spacing w:after="140" w:before="0" w:line="276"/>
      </w:pPr>
      <w:r>
        <w:rPr>
          <w:sz w:val="22"/>
          <w:szCs w:val="22"/>
        </w:rPr>
        <w:t xml:space="preserve">Build to open standards (OpenXR; Android XR) and, in defense, to TAK/ATAK; design data-residency and recognition controls as configurable, jurisdiction-aware features. Standards and regional configurability are the lowest-cost hedges against platform appropriation, regulatory divergence, and procurement/sovereignty risk.</w:t>
      </w:r>
    </w:p>
    <w:p>
      <w:pPr>
        <w:pStyle w:val="Heading1"/>
        <w:pBdr>
          <w:bottom w:val="single" w:color="2E75B6" w:sz="8" w:space="4"/>
        </w:pBdr>
        <w:spacing w:after="160" w:before="320"/>
      </w:pPr>
      <w:r>
        <w:rPr>
          <w:rFonts w:ascii="Arial" w:cs="Arial" w:eastAsia="Arial" w:hAnsi="Arial"/>
          <w:b/>
          <w:bCs/>
          <w:color w:val="1F3864"/>
          <w:sz w:val="32"/>
          <w:szCs w:val="32"/>
        </w:rPr>
        <w:t xml:space="preserve">10.  Recommendations</w:t>
      </w:r>
    </w:p>
    <w:p>
      <w:pPr>
        <w:spacing w:after="160" w:line="276"/>
      </w:pPr>
      <w:r>
        <w:rPr>
          <w:i/>
          <w:iCs/>
          <w:color w:val="595959"/>
          <w:sz w:val="22"/>
          <w:szCs w:val="22"/>
        </w:rPr>
        <w:t xml:space="preserve">Prioritized actions for the board and product leadership, ordered by leverage on durable value.</w:t>
      </w:r>
    </w:p>
    <w:p>
      <w:pPr>
        <w:pStyle w:val="ListParagraph"/>
        <w:numPr>
          <w:ilvl w:val="0"/>
          <w:numId w:val="3"/>
        </w:numPr>
        <w:spacing w:after="100" w:line="270"/>
      </w:pPr>
      <w:r>
        <w:rPr>
          <w:b/>
          <w:bCs/>
          <w:sz w:val="22"/>
          <w:szCs w:val="22"/>
        </w:rPr>
        <w:t xml:space="preserve">Anchor strategy to a layer and an ecosystem, not a device or a single market. </w:t>
      </w:r>
      <w:r>
        <w:rPr>
          <w:sz w:val="22"/>
          <w:szCs w:val="22"/>
        </w:rPr>
        <w:t xml:space="preserve">Decide which durable layer to own (platform/assistant, component IP, brand/distribution, enterprise software, or national defense) and in which ecosystem(s) — Western, Chinese, or both. Pure device-OEM positioning is the lowest-durability path everywhere.</w:t>
      </w:r>
    </w:p>
    <w:p>
      <w:pPr>
        <w:pStyle w:val="ListParagraph"/>
        <w:numPr>
          <w:ilvl w:val="0"/>
          <w:numId w:val="3"/>
        </w:numPr>
        <w:spacing w:after="100" w:line="270"/>
      </w:pPr>
      <w:r>
        <w:rPr>
          <w:b/>
          <w:bCs/>
          <w:sz w:val="22"/>
          <w:szCs w:val="22"/>
        </w:rPr>
        <w:t xml:space="preserve">Treat regulation as architecture. </w:t>
      </w:r>
      <w:r>
        <w:rPr>
          <w:sz w:val="22"/>
          <w:szCs w:val="22"/>
        </w:rPr>
        <w:t xml:space="preserve">Make camera, recognition, and data-routing features regionally configurable so EU (AI Act + GDPR), US, and China builds are variants, not rewrites — a prerequisite for selling globally and a durability moat in itself.</w:t>
      </w:r>
    </w:p>
    <w:p>
      <w:pPr>
        <w:pStyle w:val="ListParagraph"/>
        <w:numPr>
          <w:ilvl w:val="0"/>
          <w:numId w:val="3"/>
        </w:numPr>
        <w:spacing w:after="100" w:line="270"/>
      </w:pPr>
      <w:r>
        <w:rPr>
          <w:b/>
          <w:bCs/>
          <w:sz w:val="22"/>
          <w:szCs w:val="22"/>
        </w:rPr>
        <w:t xml:space="preserve">Decide the China question explicitly. </w:t>
      </w:r>
      <w:r>
        <w:rPr>
          <w:sz w:val="22"/>
          <w:szCs w:val="22"/>
        </w:rPr>
        <w:t xml:space="preserve">China is the largest, fastest consumer market but a separate stack with access and trust constraints. Choose to compete domestically (local stack, data residency), serve it via exports where allowed, or stay out — do not drift.</w:t>
      </w:r>
    </w:p>
    <w:p>
      <w:pPr>
        <w:pStyle w:val="ListParagraph"/>
        <w:numPr>
          <w:ilvl w:val="0"/>
          <w:numId w:val="3"/>
        </w:numPr>
        <w:spacing w:after="100" w:line="270"/>
      </w:pPr>
      <w:r>
        <w:rPr>
          <w:b/>
          <w:bCs/>
          <w:sz w:val="22"/>
          <w:szCs w:val="22"/>
        </w:rPr>
        <w:t xml:space="preserve">Secure the picks-and-shovels across regions. </w:t>
      </w:r>
      <w:r>
        <w:rPr>
          <w:sz w:val="22"/>
          <w:szCs w:val="22"/>
        </w:rPr>
        <w:t xml:space="preserve">Lock waveguide, light-engine, optical-glass, and silicon supply through partnership or acquisition, with deliberate geographic diversification given Taiwan/China/Israel/Germany concentration.</w:t>
      </w:r>
    </w:p>
    <w:p>
      <w:pPr>
        <w:pStyle w:val="ListParagraph"/>
        <w:numPr>
          <w:ilvl w:val="0"/>
          <w:numId w:val="3"/>
        </w:numPr>
        <w:spacing w:after="100" w:line="270"/>
      </w:pPr>
      <w:r>
        <w:rPr>
          <w:b/>
          <w:bCs/>
          <w:sz w:val="22"/>
          <w:szCs w:val="22"/>
        </w:rPr>
        <w:t xml:space="preserve">Engineer dual-use and multi-ecosystem reach from the start. </w:t>
      </w:r>
      <w:r>
        <w:rPr>
          <w:sz w:val="22"/>
          <w:szCs w:val="22"/>
        </w:rPr>
        <w:t xml:space="preserve">Crossover between consumer-scale R&amp;D and enterprise/defense margins, and the ability to operate in more than one ecosystem, are the strongest hedges against any single arena’s or region’s volatility.</w:t>
      </w:r>
    </w:p>
    <w:p>
      <w:pPr>
        <w:pStyle w:val="ListParagraph"/>
        <w:numPr>
          <w:ilvl w:val="0"/>
          <w:numId w:val="3"/>
        </w:numPr>
        <w:spacing w:after="100" w:line="270"/>
      </w:pPr>
      <w:r>
        <w:rPr>
          <w:b/>
          <w:bCs/>
          <w:sz w:val="22"/>
          <w:szCs w:val="22"/>
        </w:rPr>
        <w:t xml:space="preserve">Pursue selective M&amp;A for moated niches. </w:t>
      </w:r>
      <w:r>
        <w:rPr>
          <w:sz w:val="22"/>
          <w:szCs w:val="22"/>
        </w:rPr>
        <w:t xml:space="preserve">Certification-locked enterprise (hazardous, medical), waveguide IP (Israel, Finland), and national defense capability are acquirable durability; the HoloLens vacuum and ongoing consolidation create timing.</w:t>
      </w:r>
    </w:p>
    <w:p>
      <w:pPr>
        <w:pStyle w:val="ListParagraph"/>
        <w:numPr>
          <w:ilvl w:val="0"/>
          <w:numId w:val="3"/>
        </w:numPr>
        <w:spacing w:after="100" w:line="270"/>
      </w:pPr>
      <w:r>
        <w:rPr>
          <w:b/>
          <w:bCs/>
          <w:sz w:val="22"/>
          <w:szCs w:val="22"/>
        </w:rPr>
        <w:t xml:space="preserve">If pursuing defense, plan for institutional and national risk. </w:t>
      </w:r>
      <w:r>
        <w:rPr>
          <w:sz w:val="22"/>
          <w:szCs w:val="22"/>
        </w:rPr>
        <w:t xml:space="preserve">Build to standards (TAK, OpenXR), diversify across programs and allied nations, and assume restructurings and sovereignty constraints; incumbency is powerful but neither permanent nor portable across borders.</w:t>
      </w:r>
    </w:p>
    <w:p>
      <w:pPr>
        <w:pStyle w:val="ListParagraph"/>
        <w:numPr>
          <w:ilvl w:val="0"/>
          <w:numId w:val="3"/>
        </w:numPr>
        <w:spacing w:after="100" w:line="270"/>
      </w:pPr>
      <w:r>
        <w:rPr>
          <w:b/>
          <w:bCs/>
          <w:sz w:val="22"/>
          <w:szCs w:val="22"/>
        </w:rPr>
        <w:t xml:space="preserve">Preserve optionality while the category and the map stabilize. </w:t>
      </w:r>
      <w:r>
        <w:rPr>
          <w:sz w:val="22"/>
          <w:szCs w:val="22"/>
        </w:rPr>
        <w:t xml:space="preserve">Given definitional immaturity, a live platform war, and active decoupling, favor reversible, modular, region-portable bets over irreversible scale commitments until winners clarify in Horizon 2.</w:t>
      </w:r>
    </w:p>
    <w:p>
      <w:r>
        <w:br w:type="page"/>
      </w:r>
    </w:p>
    <w:p>
      <w:pPr>
        <w:pStyle w:val="Heading1"/>
        <w:pBdr>
          <w:bottom w:val="single" w:color="2E75B6" w:sz="8" w:space="4"/>
        </w:pBdr>
        <w:spacing w:after="160" w:before="320"/>
      </w:pPr>
      <w:r>
        <w:rPr>
          <w:rFonts w:ascii="Arial" w:cs="Arial" w:eastAsia="Arial" w:hAnsi="Arial"/>
          <w:b/>
          <w:bCs/>
          <w:color w:val="1F3864"/>
          <w:sz w:val="32"/>
          <w:szCs w:val="32"/>
        </w:rPr>
        <w:t xml:space="preserve">Appendix A.  Global Product &amp; Player Catalog</w:t>
      </w:r>
    </w:p>
    <w:p>
      <w:pPr>
        <w:spacing w:after="140" w:before="0" w:line="276"/>
      </w:pPr>
      <w:r>
        <w:rPr>
          <w:color w:val="595959"/>
          <w:sz w:val="21"/>
          <w:szCs w:val="21"/>
        </w:rPr>
        <w:t xml:space="preserve">Representative (not exhaustive), by region and arena, as of mid-2026.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60"/>
        <w:gridCol w:w="29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Region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Arena</w:t>
            </w:r>
          </w:p>
        </w:tc>
        <w:tc>
          <w:tcPr>
            <w:tcW w:type="dxa" w:w="32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Players / products</w:t>
            </w:r>
          </w:p>
        </w:tc>
        <w:tc>
          <w:tcPr>
            <w:tcW w:type="dxa" w:w="29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Role / note</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N. America</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Consumer</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Meta (Ray-Ban, Display, Orion), Apple (Vision Pro), Google (Android XR), Snap (Specs), Amazon (Jayhawk)</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Platform/OS + AI war; Meta ~76% XR share Q3-2025</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N. America</w:t>
            </w:r>
          </w:p>
        </w:tc>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Enterprise</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Magic Leap 2, Vuzix, RealWear, Microsoft (D365 Guides; Azure)</w:t>
            </w:r>
          </w:p>
        </w:tc>
        <w:tc>
          <w:tcPr>
            <w:tcW w:type="dxa" w:w="29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Specialists + software; HoloLens exited HW</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N. America</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Defense</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Anduril (IVAS, SBMC, EagleEye), Rivet, Collins, Vortex (XM157)</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 programs; capital + DARPA depth</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China</w:t>
            </w:r>
          </w:p>
        </w:tc>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Consumer</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XReal, RayNeo (TCL), Rokid, Xiaomi, Huawei, Alibaba (Quark), Baidu, INMO, Viture</w:t>
            </w:r>
          </w:p>
        </w:tc>
        <w:tc>
          <w:tcPr>
            <w:tcW w:type="dxa" w:w="29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Largest volume; separate stack; fastest growth</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Europe</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Brand/optics</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EssilorLuxottica, Schott, Zeiss, Optinvent</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Brand/retail + optical materials</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Europe</w:t>
            </w:r>
          </w:p>
        </w:tc>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Enterprise</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Varjo (FI), Dassault (FR), TeamViewer (DE), Holo-Light, SAP/Siemens</w:t>
            </w:r>
          </w:p>
        </w:tc>
        <w:tc>
          <w:tcPr>
            <w:tcW w:type="dxa" w:w="29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Industrie 4.0 industrial AR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Europe</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Defense</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BAE Systems (Striker II), Thales (TopOwl, Scorpion)</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Aviation HMD primes (multinational)</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APAC ex-China</w:t>
            </w:r>
          </w:p>
        </w:tc>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Consumer/Platform</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Samsung (Galaxy XR/Glasses), Sony, Seiko Epson (Moverio), LG</w:t>
            </w:r>
          </w:p>
        </w:tc>
        <w:tc>
          <w:tcPr>
            <w:tcW w:type="dxa" w:w="29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Android XR hardware; Japan optics/components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APAC ex-China</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Components</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TDK (SoftEye), Ricoh, Quanta (Taiwan ODM)</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Component &amp; assembly depth</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Israel</w:t>
            </w:r>
          </w:p>
        </w:tc>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Components/Med</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Lumus (waveguides), Augmedics, OrCam, Everysight</w:t>
            </w:r>
          </w:p>
        </w:tc>
        <w:tc>
          <w:tcPr>
            <w:tcW w:type="dxa" w:w="29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Dual-use waveguide IP; medical AR</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Israel</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Defense</w:t>
            </w:r>
          </w:p>
        </w:tc>
        <w:tc>
          <w:tcPr>
            <w:tcW w:type="dxa" w:w="3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Elbit (F-35 HMDS via CEVS, X-Sight, Iron Vision)</w:t>
            </w:r>
          </w:p>
        </w:tc>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Global defense-optics prime</w:t>
            </w:r>
          </w:p>
        </w:tc>
      </w:tr>
      <w:tr>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MEA &amp; RoW</w:t>
            </w:r>
          </w:p>
        </w:tc>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Demand</w:t>
            </w:r>
          </w:p>
        </w:tc>
        <w:tc>
          <w:tcPr>
            <w:tcW w:type="dxa" w:w="32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Gulf sovereign adopters; LATAM/Africa early markets</w:t>
            </w:r>
          </w:p>
        </w:tc>
        <w:tc>
          <w:tcPr>
            <w:tcW w:type="dxa" w:w="29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Buyers and capital, not supply</w:t>
            </w:r>
          </w:p>
        </w:tc>
      </w:tr>
    </w:tbl>
    <w:p>
      <w:pPr>
        <w:pStyle w:val="Heading1"/>
        <w:pBdr>
          <w:bottom w:val="single" w:color="2E75B6" w:sz="8" w:space="4"/>
        </w:pBdr>
        <w:spacing w:after="160" w:before="320"/>
      </w:pPr>
      <w:r>
        <w:rPr>
          <w:rFonts w:ascii="Arial" w:cs="Arial" w:eastAsia="Arial" w:hAnsi="Arial"/>
          <w:b/>
          <w:bCs/>
          <w:color w:val="1F3864"/>
          <w:sz w:val="32"/>
          <w:szCs w:val="32"/>
        </w:rPr>
        <w:t xml:space="preserve">Appendix B.  Market Data &amp; Source References</w:t>
      </w:r>
    </w:p>
    <w:p>
      <w:pPr>
        <w:spacing w:after="140" w:before="0" w:line="276"/>
      </w:pPr>
      <w:r>
        <w:rPr>
          <w:color w:val="595959"/>
          <w:sz w:val="21"/>
          <w:szCs w:val="21"/>
        </w:rPr>
        <w:t xml:space="preserve">Third-party analyst estimates and disclosures cited in this report. Figures are directional; definitions and regional accounting vary across sources.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Source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Headline figure / fact</w:t>
            </w:r>
          </w:p>
        </w:tc>
        <w:tc>
          <w:tcPr>
            <w:tcW w:type="dxa" w:w="39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Note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The Business Research Company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~US$25B (2026) → ~US$47B (2030), ~17% CAGR</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AR/VR smart glasses (broad)</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MarketsandMarkets</w:t>
            </w:r>
          </w:p>
        </w:tc>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~US$1.2B (2025) → ~US$4.1B (2030), ~29% CAGR</w:t>
            </w:r>
          </w:p>
        </w:tc>
        <w:tc>
          <w:tcPr>
            <w:tcW w:type="dxa" w:w="3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Smart glasses (narrow)</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Grand View Research</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~US$2.5B (2025) → ~US$14B (2033), ~24% CAGR</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Android led OS share; NA ~36% revenue</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Verified Market Reports</w:t>
            </w:r>
          </w:p>
        </w:tc>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Consumer XR ~US$10.5B (2024) → ~US$32.5B (2033)</w:t>
            </w:r>
          </w:p>
        </w:tc>
        <w:tc>
          <w:tcPr>
            <w:tcW w:type="dxa" w:w="3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~13.5% CAGR</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Mordor Intelligence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Defense AR/VR ~US$1.68B (2025) → ~US$4.34B (2030)</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~21% CAGR; N. America ~43% of spend</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The Insight Partners</w:t>
            </w:r>
          </w:p>
        </w:tc>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Military AR ~US$1.72B (2025) → ~US$6.77B (2034)</w:t>
            </w:r>
          </w:p>
        </w:tc>
        <w:tc>
          <w:tcPr>
            <w:tcW w:type="dxa" w:w="3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~16% CAGR; dismounted-soldier led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IDC / Counterpoint</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Meta ~76% XR share Q3-2025; RayNeo led video-AR (~42%)</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China shipments +~62%; top 5 incl. Xiaomi, XReal</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EU AI Act / Commission</w:t>
            </w:r>
          </w:p>
        </w:tc>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Full applicability 2 Aug 2026; prohibited practices since Feb 2025</w:t>
            </w:r>
          </w:p>
        </w:tc>
        <w:tc>
          <w:tcPr>
            <w:tcW w:type="dxa" w:w="3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Gates biometric/face-recognition features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Lumus / Schott / Quanta</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Reflective-waveguide IP; CES 2026 &gt;70° FOV</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Powers Meta Display, Thales Scorpion, Lenovo</w:t>
            </w:r>
          </w:p>
        </w:tc>
      </w:tr>
      <w:tr>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US Army / Congress / Anduril</w:t>
            </w:r>
          </w:p>
        </w:tc>
        <w:tc>
          <w:tcPr>
            <w:tcW w:type="dxa" w:w="24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IVAS up to US$22B; SBMC ~US$354M; XM157 up to US$2.7B</w:t>
            </w:r>
          </w:p>
        </w:tc>
        <w:tc>
          <w:tcPr>
            <w:tcW w:type="dxa" w:w="39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IVAS 1.2 procurement zeroed; SBMC delivery ~2027</w:t>
            </w:r>
          </w:p>
        </w:tc>
      </w:tr>
    </w:tbl>
    <w:p>
      <w:pPr>
        <w:pStyle w:val="Heading1"/>
        <w:pBdr>
          <w:bottom w:val="single" w:color="2E75B6" w:sz="8" w:space="4"/>
        </w:pBdr>
        <w:spacing w:after="160" w:before="320"/>
      </w:pPr>
      <w:r>
        <w:rPr>
          <w:rFonts w:ascii="Arial" w:cs="Arial" w:eastAsia="Arial" w:hAnsi="Arial"/>
          <w:b/>
          <w:bCs/>
          <w:color w:val="1F3864"/>
          <w:sz w:val="32"/>
          <w:szCs w:val="32"/>
        </w:rPr>
        <w:t xml:space="preserve">Appendix C.  Regional Regulatory Summary</w:t>
      </w:r>
    </w:p>
    <w:p>
      <w:pPr>
        <w:spacing w:after="140" w:before="0" w:line="276"/>
      </w:pPr>
      <w:r>
        <w:rPr>
          <w:color w:val="595959"/>
          <w:sz w:val="21"/>
          <w:szCs w:val="21"/>
        </w:rPr>
        <w:t xml:space="preserve">How the major regimes treat the camera/biometric features central to consumer 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160"/>
        <w:gridCol w:w="15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pPr>
            <w:r>
              <w:rPr>
                <w:rFonts w:ascii="Arial" w:cs="Arial" w:eastAsia="Arial" w:hAnsi="Arial"/>
                <w:b/>
                <w:bCs/>
                <w:color w:val="FFFFFF"/>
                <w:sz w:val="19"/>
                <w:szCs w:val="19"/>
              </w:rPr>
              <w:t xml:space="preserve">Jurisdiction</w:t>
            </w:r>
          </w:p>
        </w:tc>
        <w:tc>
          <w:tcPr>
            <w:tcW w:type="dxa" w:w="30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Key regime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Effect on AR camera/biometric features</w:t>
            </w:r>
          </w:p>
        </w:tc>
        <w:tc>
          <w:tcPr>
            <w:tcW w:type="dxa" w:w="1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20" w:before="20" w:line="252"/>
              <w:jc w:val="center"/>
            </w:pPr>
            <w:r>
              <w:rPr>
                <w:rFonts w:ascii="Arial" w:cs="Arial" w:eastAsia="Arial" w:hAnsi="Arial"/>
                <w:b/>
                <w:bCs/>
                <w:color w:val="FFFFFF"/>
                <w:sz w:val="19"/>
                <w:szCs w:val="19"/>
              </w:rPr>
              <w:t xml:space="preserve">Net</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EU</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AI Act (full Aug 2, 2026) + GDPR</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Real-time public face-rec banned (narrow exceptions); emotion-rec banned at work/school; biometrics need reinforced basis + DPIA</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Most restrictive</w:t>
            </w:r>
          </w:p>
        </w:tc>
      </w:tr>
      <w:tr>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United States</w:t>
            </w:r>
          </w:p>
        </w:tc>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State patchwork (e.g., BIPA) + federal scrutiny</w:t>
            </w:r>
          </w:p>
        </w:tc>
        <w:tc>
          <w:tcPr>
            <w:tcW w:type="dxa" w:w="31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No federal ban; state biometric-law and litigation risk; agency use contested</w:t>
            </w:r>
          </w:p>
        </w:tc>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Permissive, uneven</w:t>
            </w:r>
          </w:p>
        </w:tc>
      </w:tr>
      <w:t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China</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PIPL + data-localization</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State-permissive surveillance; cross-border data constrained; domestic routing required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Sovereignty-gated</w:t>
            </w:r>
          </w:p>
        </w:tc>
      </w:tr>
      <w:tr>
        <w:tc>
          <w:tcPr>
            <w:tcW w:type="dxa" w:w="17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bCs/>
                <w:color w:val="000000"/>
                <w:sz w:val="19"/>
                <w:szCs w:val="19"/>
              </w:rPr>
              <w:t xml:space="preserve">UK &amp; others</w:t>
            </w:r>
          </w:p>
        </w:tc>
        <w:tc>
          <w:tcPr>
            <w:tcW w:type="dxa" w:w="30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Sectoral; UK post-Brexit divergence</w:t>
            </w:r>
          </w:p>
        </w:tc>
        <w:tc>
          <w:tcPr>
            <w:tcW w:type="dxa" w:w="316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Case-by-case; facial recognition actively debated</w:t>
            </w:r>
          </w:p>
        </w:tc>
        <w:tc>
          <w:tcPr>
            <w:tcW w:type="dxa" w:w="1500"/>
            <w:tcBorders>
              <w:top w:val="single" w:color="CCCCCC" w:sz="1"/>
              <w:left w:val="single" w:color="CCCCCC" w:sz="1"/>
              <w:bottom w:val="single" w:color="CCCCCC" w:sz="1"/>
              <w:right w:val="single" w:color="CCCCCC" w:sz="1"/>
            </w:tcBorders>
            <w:shd w:fill="F2F5FA" w:val="clear"/>
            <w:tcMar>
              <w:top w:type="dxa" w:w="60"/>
              <w:left w:type="dxa" w:w="110"/>
              <w:bottom w:type="dxa" w:w="60"/>
              <w:right w:type="dxa" w:w="110"/>
            </w:tcMar>
            <w:vAlign w:val="center"/>
          </w:tcPr>
          <w:p>
            <w:pPr>
              <w:spacing w:after="20" w:before="20" w:line="252"/>
            </w:pPr>
            <w:r>
              <w:rPr>
                <w:rFonts w:ascii="Arial" w:cs="Arial" w:eastAsia="Arial" w:hAnsi="Arial"/>
                <w:b w:val="false"/>
                <w:bCs w:val="false"/>
                <w:color w:val="000000"/>
                <w:sz w:val="19"/>
                <w:szCs w:val="19"/>
              </w:rPr>
              <w:t xml:space="preserve">Evolving</w:t>
            </w:r>
          </w:p>
        </w:tc>
      </w:tr>
    </w:tbl>
    <w:p>
      <w:pPr>
        <w:pStyle w:val="Heading1"/>
        <w:pBdr>
          <w:bottom w:val="single" w:color="2E75B6" w:sz="8" w:space="4"/>
        </w:pBdr>
        <w:spacing w:after="160" w:before="320"/>
      </w:pPr>
      <w:r>
        <w:rPr>
          <w:rFonts w:ascii="Arial" w:cs="Arial" w:eastAsia="Arial" w:hAnsi="Arial"/>
          <w:b/>
          <w:bCs/>
          <w:color w:val="1F3864"/>
          <w:sz w:val="32"/>
          <w:szCs w:val="32"/>
        </w:rPr>
        <w:t xml:space="preserve">Appendix D.  Glossary</w:t>
      </w:r>
    </w:p>
    <w:p>
      <w:pPr>
        <w:spacing w:after="70" w:line="264"/>
      </w:pPr>
      <w:r>
        <w:rPr>
          <w:b/>
          <w:bCs/>
          <w:sz w:val="21"/>
          <w:szCs w:val="21"/>
        </w:rPr>
        <w:t xml:space="preserve">AR / MR — </w:t>
      </w:r>
      <w:r>
        <w:rPr>
          <w:sz w:val="21"/>
          <w:szCs w:val="21"/>
        </w:rPr>
        <w:t xml:space="preserve">Augmented reality (digital overlays via see-through optics) / mixed reality (passthrough spatial computing).</w:t>
      </w:r>
    </w:p>
    <w:p>
      <w:pPr>
        <w:spacing w:after="70" w:line="264"/>
      </w:pPr>
      <w:r>
        <w:rPr>
          <w:b/>
          <w:bCs/>
          <w:sz w:val="21"/>
          <w:szCs w:val="21"/>
        </w:rPr>
        <w:t xml:space="preserve">HMD — </w:t>
      </w:r>
      <w:r>
        <w:rPr>
          <w:sz w:val="21"/>
          <w:szCs w:val="21"/>
        </w:rPr>
        <w:t xml:space="preserve">Helmet-/head-mounted display.</w:t>
      </w:r>
    </w:p>
    <w:p>
      <w:pPr>
        <w:spacing w:after="70" w:line="264"/>
      </w:pPr>
      <w:r>
        <w:rPr>
          <w:b/>
          <w:bCs/>
          <w:sz w:val="21"/>
          <w:szCs w:val="21"/>
        </w:rPr>
        <w:t xml:space="preserve">Waveguide — </w:t>
      </w:r>
      <w:r>
        <w:rPr>
          <w:sz w:val="21"/>
          <w:szCs w:val="21"/>
        </w:rPr>
        <w:t xml:space="preserve">Optical component channeling a display image into the eye in thin form; reflective (Lumus) vs. diffractive (Vuzix, Dispelix).</w:t>
      </w:r>
    </w:p>
    <w:p>
      <w:pPr>
        <w:spacing w:after="70" w:line="264"/>
      </w:pPr>
      <w:r>
        <w:rPr>
          <w:b/>
          <w:bCs/>
          <w:sz w:val="21"/>
          <w:szCs w:val="21"/>
        </w:rPr>
        <w:t xml:space="preserve">Android XR — </w:t>
      </w:r>
      <w:r>
        <w:rPr>
          <w:sz w:val="21"/>
          <w:szCs w:val="21"/>
        </w:rPr>
        <w:t xml:space="preserve">Google’s XR operating system (with Qualcomm silicon and Samsung hardware); the emerging Western horizontal platform.</w:t>
      </w:r>
    </w:p>
    <w:p>
      <w:pPr>
        <w:spacing w:after="70" w:line="264"/>
      </w:pPr>
      <w:r>
        <w:rPr>
          <w:b/>
          <w:bCs/>
          <w:sz w:val="21"/>
          <w:szCs w:val="21"/>
        </w:rPr>
        <w:t xml:space="preserve">HarmonyOS — </w:t>
      </w:r>
      <w:r>
        <w:rPr>
          <w:sz w:val="21"/>
          <w:szCs w:val="21"/>
        </w:rPr>
        <w:t xml:space="preserve">Huawei’s operating system; part of China’s domestic stack.</w:t>
      </w:r>
    </w:p>
    <w:p>
      <w:pPr>
        <w:spacing w:after="70" w:line="264"/>
      </w:pPr>
      <w:r>
        <w:rPr>
          <w:b/>
          <w:bCs/>
          <w:sz w:val="21"/>
          <w:szCs w:val="21"/>
        </w:rPr>
        <w:t xml:space="preserve">EU AI Act — </w:t>
      </w:r>
      <w:r>
        <w:rPr>
          <w:sz w:val="21"/>
          <w:szCs w:val="21"/>
        </w:rPr>
        <w:t xml:space="preserve">EU regulation on AI; fully applicable 2 Aug 2026; constrains biometric/face-recognition uses.</w:t>
      </w:r>
    </w:p>
    <w:p>
      <w:pPr>
        <w:spacing w:after="70" w:line="264"/>
      </w:pPr>
      <w:r>
        <w:rPr>
          <w:b/>
          <w:bCs/>
          <w:sz w:val="21"/>
          <w:szCs w:val="21"/>
        </w:rPr>
        <w:t xml:space="preserve">GDPR / PIPL — </w:t>
      </w:r>
      <w:r>
        <w:rPr>
          <w:sz w:val="21"/>
          <w:szCs w:val="21"/>
        </w:rPr>
        <w:t xml:space="preserve">EU and Chinese data-protection regimes governing personal/biometric data and data residency.</w:t>
      </w:r>
    </w:p>
    <w:p>
      <w:pPr>
        <w:spacing w:after="70" w:line="264"/>
      </w:pPr>
      <w:r>
        <w:rPr>
          <w:b/>
          <w:bCs/>
          <w:sz w:val="21"/>
          <w:szCs w:val="21"/>
        </w:rPr>
        <w:t xml:space="preserve">IVAS / SBMC — </w:t>
      </w:r>
      <w:r>
        <w:rPr>
          <w:sz w:val="21"/>
          <w:szCs w:val="21"/>
        </w:rPr>
        <w:t xml:space="preserve">US Army soldier-AR program and its successor (Soldier Borne Mission Command).</w:t>
      </w:r>
    </w:p>
    <w:p>
      <w:pPr>
        <w:spacing w:after="70" w:line="264"/>
      </w:pPr>
      <w:r>
        <w:rPr>
          <w:b/>
          <w:bCs/>
          <w:sz w:val="21"/>
          <w:szCs w:val="21"/>
        </w:rPr>
        <w:t xml:space="preserve">NGSW-FC / XM157 — </w:t>
      </w:r>
      <w:r>
        <w:rPr>
          <w:sz w:val="21"/>
          <w:szCs w:val="21"/>
        </w:rPr>
        <w:t xml:space="preserve">Next Generation Squad Weapon – Fire Control; the US Army’s AR weapon optic.</w:t>
      </w:r>
    </w:p>
    <w:p>
      <w:pPr>
        <w:spacing w:after="70" w:line="264"/>
      </w:pPr>
      <w:r>
        <w:rPr>
          <w:b/>
          <w:bCs/>
          <w:sz w:val="21"/>
          <w:szCs w:val="21"/>
        </w:rPr>
        <w:t xml:space="preserve">TAK / ATAK / OpenXR — </w:t>
      </w:r>
      <w:r>
        <w:rPr>
          <w:sz w:val="21"/>
          <w:szCs w:val="21"/>
        </w:rPr>
        <w:t xml:space="preserve">Military situational-awareness software / open cross-vendor XR standard.</w:t>
      </w:r>
    </w:p>
    <w:p>
      <w:pPr>
        <w:spacing w:after="70" w:line="264"/>
      </w:pPr>
      <w:r>
        <w:rPr>
          <w:b/>
          <w:bCs/>
          <w:sz w:val="21"/>
          <w:szCs w:val="21"/>
        </w:rPr>
        <w:t xml:space="preserve">Dual-use — </w:t>
      </w:r>
      <w:r>
        <w:rPr>
          <w:sz w:val="21"/>
          <w:szCs w:val="21"/>
        </w:rPr>
        <w:t xml:space="preserve">Technology serving both commercial and defense markets.</w:t>
      </w:r>
    </w:p>
    <w:p>
      <w:pPr>
        <w:spacing w:after="70" w:line="264"/>
      </w:pPr>
      <w:r>
        <w:rPr>
          <w:b/>
          <w:bCs/>
          <w:sz w:val="21"/>
          <w:szCs w:val="21"/>
        </w:rPr>
        <w:t xml:space="preserve">ODM — </w:t>
      </w:r>
      <w:r>
        <w:rPr>
          <w:sz w:val="21"/>
          <w:szCs w:val="21"/>
        </w:rPr>
        <w:t xml:space="preserve">Original design manufacturer (contract designer/assembler, e.g., Quanta).</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before="60"/>
    </w:pPr>
    <w:r>
      <w:rPr>
        <w:rFonts w:ascii="Arial" w:cs="Arial" w:eastAsia="Arial" w:hAnsi="Arial"/>
        <w:color w:val="595959"/>
        <w:sz w:val="16"/>
        <w:szCs w:val="16"/>
      </w:rPr>
      <w:t xml:space="preserve">Prepared June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60"/>
    </w:pPr>
    <w:r>
      <w:rPr>
        <w:rFonts w:ascii="Arial" w:cs="Arial" w:eastAsia="Arial" w:hAnsi="Arial"/>
        <w:color w:val="595959"/>
        <w:sz w:val="16"/>
        <w:szCs w:val="16"/>
      </w:rPr>
      <w:t xml:space="preserve">Global AR — Competitive Market Durability Analysis</w:t>
    </w:r>
    <w:r>
      <w:rPr>
        <w:rFonts w:ascii="Arial" w:cs="Arial" w:eastAsia="Arial" w:hAnsi="Arial"/>
        <w:color w:val="595959"/>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9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Competitive Market Durability Analysis — Augmented Reality</dc:title>
  <dc:creator>Strategic Market Intelligence</dc:creator>
  <cp:lastModifiedBy>Un-named</cp:lastModifiedBy>
  <cp:revision>1</cp:revision>
  <dcterms:created xsi:type="dcterms:W3CDTF">2026-06-03T00:41:56.192Z</dcterms:created>
  <dcterms:modified xsi:type="dcterms:W3CDTF">2026-06-03T00:41:56.204Z</dcterms:modified>
</cp:coreProperties>
</file>

<file path=docProps/custom.xml><?xml version="1.0" encoding="utf-8"?>
<Properties xmlns="http://schemas.openxmlformats.org/officeDocument/2006/custom-properties" xmlns:vt="http://schemas.openxmlformats.org/officeDocument/2006/docPropsVTypes"/>
</file>