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jc w:val="left"/>
      </w:pPr>
      <w:r>
        <w:t>Виктор Строков</w:t>
      </w:r>
    </w:p>
    <w:p>
      <w:pPr>
        <w:pStyle w:val="Subtitle"/>
        <w:keepNext/>
        <w:keepLines/>
        <w:widowControl/>
        <w:jc w:val="left"/>
      </w:pPr>
      <w:r>
        <w:t>Руководитель направления B2B</w:t>
      </w:r>
    </w:p>
    <w:p>
      <w:pPr>
        <w:pStyle w:val="Contacts"/>
        <w:keepNext/>
        <w:keepLines/>
        <w:widowControl/>
        <w:jc w:val="left"/>
      </w:pPr>
      <w:r>
        <w:t xml:space="preserve">Москва | </w:t>
      </w:r>
      <w:hyperlink r:id="rId13">
        <w:r>
          <w:rPr>
            <w:rFonts w:ascii="Arial" w:hAnsi="Arial"/>
            <w:color w:val="244A73"/>
            <w:sz w:val="21"/>
            <w:u w:val="single"/>
          </w:rPr>
          <w:t>Telegram</w:t>
        </w:r>
      </w:hyperlink>
      <w:r>
        <w:t xml:space="preserve"> | </w:t>
      </w:r>
      <w:hyperlink r:id="rId9">
        <w:r>
          <w:rPr>
            <w:rFonts w:ascii="Arial" w:hAnsi="Arial"/>
            <w:color w:val="244A73"/>
            <w:sz w:val="21"/>
            <w:u w:val="single"/>
          </w:rPr>
          <w:t>strokov.victor@gmail.com</w:t>
        </w:r>
      </w:hyperlink>
      <w:r>
        <w:t xml:space="preserve"> | </w:t>
      </w:r>
      <w:hyperlink r:id="rId10">
        <w:r>
          <w:rPr>
            <w:rFonts w:ascii="Arial" w:hAnsi="Arial"/>
            <w:color w:val="244A73"/>
            <w:sz w:val="21"/>
            <w:u w:val="single"/>
          </w:rPr>
          <w:t>LinkedIn</w:t>
        </w:r>
      </w:hyperlink>
      <w:r>
        <w:t xml:space="preserve"> | </w:t>
      </w:r>
      <w:hyperlink r:id="rId11">
        <w:r>
          <w:rPr>
            <w:rFonts w:ascii="Arial" w:hAnsi="Arial"/>
            <w:color w:val="244A73"/>
            <w:sz w:val="21"/>
            <w:u w:val="single"/>
          </w:rPr>
          <w:t>Портфолио</w:t>
        </w:r>
      </w:hyperlink>
    </w:p>
    <w:p>
      <w:pPr>
        <w:keepNext w:val="0"/>
        <w:keepLines/>
        <w:widowControl/>
        <w:jc w:val="left"/>
      </w:pPr>
      <w:r>
        <w:t>Развиваю B2B-направления на основе отраслевых данных и потребностей корпоративных клиентов. Сейчас запускаю и развиваю платные бюллетени: вывел на рынок 7. Ранее запустил 10+ ценовых индикаторов и 2 платных информационных продукта для 30+ B2B-клиентов, координировал автоматизацию аукционов и внедрял аналитику для оценки сделок.</w:t>
      </w:r>
    </w:p>
    <w:p>
      <w:pPr>
        <w:pStyle w:val="Heading1"/>
        <w:keepNext/>
        <w:keepLines/>
        <w:widowControl/>
        <w:jc w:val="left"/>
      </w:pPr>
      <w:r>
        <w:t>Опыт работы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ХимИнсайт</w:t>
      </w:r>
      <w:r>
        <w:rPr>
          <w:b w:val="0"/>
          <w:sz w:val="21"/>
        </w:rPr>
        <w:tab/>
        <w:t>2025-н.в.</w:t>
      </w:r>
    </w:p>
    <w:p>
      <w:pPr>
        <w:pStyle w:val="Role"/>
        <w:keepNext/>
        <w:keepLines/>
        <w:widowControl/>
        <w:jc w:val="left"/>
      </w:pPr>
      <w:r>
        <w:t>Внештатный консультант</w:t>
      </w:r>
    </w:p>
    <w:p>
      <w:pPr>
        <w:pStyle w:val="Scope"/>
        <w:keepNext/>
        <w:keepLines/>
        <w:widowControl/>
        <w:jc w:val="left"/>
      </w:pPr>
      <w:r>
        <w:t>Ценовое агентство в нефтегазохимии. Запуск бюллетеней; координация экспертов, редакторов, дизайнеров и подрядчиков.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Вывел на рынок 7 платных бюллетеней с суммарным охватом 10+ B2B-клиентов; организовал регулярный выпуск.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Описал процессы подготовки и выпуска в BPMN для согласования этапов работы и зон ответственности команды.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Сформировал календарь выпусков, план развития бюллетеней и базу клиентов для регулярной публикации материалов и развития тематики на основе запросов B2B-клиентов.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Национальная товарная биржа</w:t>
      </w:r>
      <w:r>
        <w:rPr>
          <w:b w:val="0"/>
          <w:sz w:val="21"/>
        </w:rPr>
        <w:tab/>
        <w:t>2021-2024</w:t>
      </w:r>
    </w:p>
    <w:p>
      <w:pPr>
        <w:pStyle w:val="Role"/>
        <w:keepNext/>
        <w:keepLines/>
        <w:widowControl/>
        <w:jc w:val="left"/>
      </w:pPr>
      <w:r>
        <w:t>Руководитель направления методологии</w:t>
      </w:r>
    </w:p>
    <w:p>
      <w:pPr>
        <w:pStyle w:val="Scope"/>
        <w:keepNext/>
        <w:keepLines/>
        <w:widowControl/>
        <w:jc w:val="left"/>
      </w:pPr>
      <w:r>
        <w:t>Группа Московской биржи. 1 прямой подчинённый; координация коллег и подрядчиков.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Запустил 10+ ценовых индикаторов для российского АПК и разрабатывал методики их расчёта.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Запустил 2 платных информационных продукта с охватом 30+ B2B-клиентов.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Развивал товарные аукционы: в период работы число участников выросло с 2 до 400+, ассортимент - до 200+ товаров, число торговых базисов - до 50+.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Координировал разработку и внедрение фронтенд-системы обработки заявок на товарных аукционах; после внедрения число заявок выросло более чем в 2 раза.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Лукойл-РНП-Трейдинг</w:t>
      </w:r>
      <w:r>
        <w:rPr>
          <w:b w:val="0"/>
          <w:sz w:val="21"/>
        </w:rPr>
        <w:tab/>
        <w:t>2020-2021</w:t>
      </w:r>
    </w:p>
    <w:p>
      <w:pPr>
        <w:pStyle w:val="Role"/>
        <w:keepNext/>
        <w:keepLines/>
        <w:widowControl/>
        <w:jc w:val="left"/>
      </w:pPr>
      <w:r>
        <w:t>Ведущий специалист отдела развития бизнеса</w:t>
      </w:r>
    </w:p>
    <w:p>
      <w:pPr>
        <w:pStyle w:val="Scope"/>
        <w:keepNext/>
        <w:keepLines/>
        <w:widowControl/>
        <w:jc w:val="left"/>
      </w:pPr>
      <w:r>
        <w:t>Торговая компания группы Лукойл.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Разработал и внедрил систему оценки сделок по каналам продаж и торговым базисам.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Сопоставлял рыночные цены, предложения конкурентов и затраты по сделкам для коммерческих решений.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Концерн Калашников</w:t>
      </w:r>
      <w:r>
        <w:rPr>
          <w:b w:val="0"/>
          <w:sz w:val="21"/>
        </w:rPr>
        <w:tab/>
        <w:t>2018-2019</w:t>
      </w:r>
    </w:p>
    <w:p>
      <w:pPr>
        <w:pStyle w:val="Role"/>
        <w:keepNext/>
        <w:keepLines/>
        <w:widowControl/>
        <w:jc w:val="left"/>
      </w:pPr>
      <w:r>
        <w:t>Менеджер по маркетинговым исследованиям</w:t>
      </w:r>
    </w:p>
    <w:p>
      <w:pPr>
        <w:pStyle w:val="Scope"/>
        <w:keepNext/>
        <w:keepLines/>
        <w:widowControl/>
        <w:jc w:val="left"/>
      </w:pPr>
      <w:r>
        <w:t>Отдел продуктового маркетинга, гражданские рынки.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Сформировал систему исследований и аналитики для отдела продуктового маркетинга.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Интегрировал систему бизнес-аналитики (BI) для сопоставления рыночных данных и оценки коммерческих перспектив.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Участвовал в разработке новых B2B-продуктов.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Thomson Reuters</w:t>
      </w:r>
      <w:r>
        <w:rPr>
          <w:b w:val="0"/>
          <w:sz w:val="21"/>
        </w:rPr>
        <w:tab/>
        <w:t>2014-2018</w:t>
      </w:r>
    </w:p>
    <w:p>
      <w:pPr>
        <w:pStyle w:val="Role"/>
        <w:keepNext/>
        <w:keepLines/>
        <w:widowControl/>
        <w:jc w:val="left"/>
      </w:pPr>
      <w:r>
        <w:t>Аналитик рынков</w:t>
      </w:r>
    </w:p>
    <w:p>
      <w:pPr>
        <w:pStyle w:val="Scope"/>
        <w:keepNext/>
        <w:keepLines/>
        <w:widowControl/>
        <w:jc w:val="left"/>
      </w:pPr>
      <w:r>
        <w:t>Агентство Reuters и терминал Eikon в период работы.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Разработал информационные продукты в Eikon и участвовал в создании аналитических дашбордов; продукты в совокупности привлекли 3 B2B-клиентов.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Подготовил 1 000+ новостей, обзоров и аналитических материалов с охватом 20 000+ читателей.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Проводил мастер-классы для клиентов Eikon и выступал на отраслевых конференциях в роли эксперта.</w:t>
      </w:r>
    </w:p>
    <w:p>
      <w:pPr>
        <w:pStyle w:val="Heading1"/>
        <w:keepNext/>
        <w:keepLines/>
        <w:widowControl/>
        <w:jc w:val="left"/>
      </w:pPr>
      <w:r>
        <w:t>Собственные проекты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Mad Burglar Cat</w:t>
      </w:r>
      <w:r>
        <w:rPr>
          <w:b w:val="0"/>
          <w:sz w:val="21"/>
        </w:rPr>
        <w:tab/>
        <w:t>2024-н.в.</w:t>
      </w:r>
    </w:p>
    <w:p>
      <w:pPr>
        <w:pStyle w:val="Role"/>
        <w:keepNext/>
        <w:keepLines/>
        <w:widowControl/>
        <w:jc w:val="left"/>
      </w:pPr>
      <w:r>
        <w:t>Основатель</w:t>
      </w:r>
    </w:p>
    <w:p>
      <w:pPr>
        <w:pStyle w:val="Scope"/>
        <w:keepNext/>
        <w:keepLines/>
        <w:widowControl/>
        <w:jc w:val="left"/>
      </w:pPr>
      <w:r>
        <w:t>Авторская одежда и текстиль для дома. Проект с полноценной командой трансформировался в небольшое хобби-производство.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Собрал интернет-магазин на Tilda с CRM, платежами и логистикой; координировал подрядчиков по контенту и дизайну.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Вывел на рынок 10+ товарных позиций и обеспечил полный цикл обработки 100+ заказов.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MappNgo</w:t>
      </w:r>
      <w:r>
        <w:rPr>
          <w:b w:val="0"/>
          <w:sz w:val="21"/>
        </w:rPr>
        <w:tab/>
        <w:t>2019-2020</w:t>
      </w:r>
    </w:p>
    <w:p>
      <w:pPr>
        <w:pStyle w:val="Role"/>
        <w:keepNext/>
        <w:keepLines/>
        <w:widowControl/>
        <w:jc w:val="left"/>
      </w:pPr>
      <w:r>
        <w:t>Основатель проекта iOS-приложения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Сформировал концепцию, координировал разработку и дизайн на аутсорсе; организовал тестирование MVP среди знакомых.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Проект закрыт в 2020 году на фоне ограничений COVID-19, до публичного запуска.</w:t>
      </w:r>
    </w:p>
    <w:p>
      <w:pPr>
        <w:pStyle w:val="Heading1"/>
        <w:keepNext/>
        <w:keepLines/>
        <w:widowControl/>
        <w:jc w:val="left"/>
      </w:pPr>
      <w:r>
        <w:t>Образование</w:t>
      </w:r>
    </w:p>
    <w:p>
      <w:pPr>
        <w:pStyle w:val="Role"/>
        <w:keepNext/>
        <w:keepLines/>
        <w:widowControl/>
        <w:jc w:val="left"/>
      </w:pPr>
      <w:r>
        <w:t>РЭУ им. Г. В. Плеханова</w:t>
      </w:r>
    </w:p>
    <w:p>
      <w:pPr>
        <w:keepNext/>
        <w:keepLines/>
        <w:widowControl/>
        <w:jc w:val="left"/>
      </w:pPr>
      <w:r>
        <w:t>2017 | Магистратура, Мировая экономика</w:t>
      </w:r>
    </w:p>
    <w:p>
      <w:pPr>
        <w:keepNext w:val="0"/>
        <w:keepLines/>
        <w:widowControl/>
        <w:jc w:val="left"/>
      </w:pPr>
      <w:r>
        <w:t>2015 | Бакалавриат, Региональная экономика</w:t>
      </w:r>
    </w:p>
    <w:p>
      <w:pPr>
        <w:pStyle w:val="Heading1"/>
        <w:keepNext/>
        <w:keepLines/>
        <w:widowControl/>
        <w:jc w:val="left"/>
      </w:pPr>
      <w:r>
        <w:t>Технические навыки и языки</w:t>
      </w:r>
    </w:p>
    <w:p>
      <w:pPr>
        <w:keepNext/>
        <w:keepLines/>
        <w:widowControl/>
        <w:jc w:val="left"/>
      </w:pPr>
      <w:r>
        <w:rPr>
          <w:b/>
        </w:rPr>
        <w:t xml:space="preserve">Технические навыки: </w:t>
      </w:r>
      <w:r>
        <w:t>Excel (Power Query, VBA), Power BI, BPMN</w:t>
      </w:r>
    </w:p>
    <w:p>
      <w:pPr>
        <w:keepNext w:val="0"/>
        <w:keepLines/>
        <w:widowControl/>
        <w:jc w:val="left"/>
      </w:pPr>
      <w:r>
        <w:rPr>
          <w:b/>
        </w:rPr>
        <w:t xml:space="preserve">Языки: </w:t>
      </w:r>
      <w:r>
        <w:t>Русский; английский C1</w:t>
      </w:r>
    </w:p>
    <w:sectPr w:rsidR="00FC693F" w:rsidRPr="0006063C" w:rsidSect="00034616">
      <w:footerReference w:type="default" r:id="rId12"/>
      <w:pgSz w:w="11906" w:h="16838"/>
      <w:pgMar w:top="1020" w:right="1020" w:bottom="102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>
      <w:t>Виктор Строков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220" w:hanging="22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before="0" w:after="60"/>
      <w:ind w:left="0" w:right="0" w:firstLine="0"/>
      <w:jc w:val="left"/>
    </w:pPr>
    <w:rPr>
      <w:rFonts w:ascii="Arial" w:hAnsi="Arial" w:eastAsia="Arial" w:cs="Arial"/>
      <w:b w:val="0"/>
      <w:i w:val="0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 w:before="0"/>
    </w:pPr>
    <w:rPr>
      <w:rFonts w:ascii="Arial" w:hAnsi="Arial" w:eastAsia="Arial" w:cs="Arial"/>
      <w:b w:val="0"/>
      <w:i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top w:val="single" w:sz="6" w:space="4" w:color="98A2AE"/>
      </w:pBdr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hd w:val="clear" w:color="auto" w:fill="F1F3F5"/>
      <w:spacing w:before="160" w:after="60" w:line="240" w:lineRule="auto"/>
      <w:jc w:val="left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  <w:jc w:val="left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40" w:lineRule="auto" w:after="80"/>
      <w:jc w:val="left"/>
    </w:pPr>
    <w:rPr>
      <w:rFonts w:asciiTheme="majorHAnsi" w:eastAsiaTheme="majorEastAsia" w:hAnsiTheme="majorHAnsi" w:cstheme="majorBidi" w:ascii="Arial" w:hAnsi="Arial" w:eastAsia="Arial" w:cs="Arial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s">
    <w:name w:val="Contacts"/>
    <w:basedOn w:val="Normal"/>
    <w:pPr>
      <w:spacing w:after="160"/>
    </w:pPr>
    <w:rPr>
      <w:rFonts w:ascii="Arial" w:hAnsi="Arial" w:eastAsia="Arial" w:cs="Arial"/>
      <w:b w:val="0"/>
      <w:i w:val="0"/>
      <w:color w:val="000000"/>
      <w:sz w:val="21"/>
    </w:rPr>
  </w:style>
  <w:style w:type="paragraph" w:customStyle="1" w:styleId="Role">
    <w:name w:val="Role"/>
    <w:basedOn w:val="Normal"/>
    <w:pPr>
      <w:spacing w:after="40"/>
    </w:pPr>
    <w:rPr>
      <w:rFonts w:ascii="Arial" w:hAnsi="Arial" w:eastAsia="Arial" w:cs="Arial"/>
      <w:b/>
      <w:i w:val="0"/>
      <w:color w:val="000000"/>
      <w:sz w:val="22"/>
    </w:rPr>
  </w:style>
  <w:style w:type="paragraph" w:customStyle="1" w:styleId="Scope">
    <w:name w:val="Scope"/>
    <w:basedOn w:val="Normal"/>
    <w:pPr>
      <w:spacing w:after="60"/>
    </w:pPr>
    <w:rPr>
      <w:rFonts w:ascii="Arial" w:hAnsi="Arial" w:eastAsia="Arial" w:cs="Arial"/>
      <w:b w:val="0"/>
      <w:i w:val="0"/>
      <w:color w:val="000000"/>
      <w:sz w:val="22"/>
    </w:rPr>
  </w:style>
  <w:style w:type="paragraph" w:customStyle="1" w:styleId="CVBullet">
    <w:name w:val="CV Bullet"/>
    <w:basedOn w:val="Normal"/>
    <w:pPr>
      <w:spacing w:after="60"/>
      <w:ind w:left="220" w:hanging="220"/>
    </w:pPr>
    <w:rPr>
      <w:rFonts w:ascii="Arial" w:hAnsi="Arial" w:eastAsia="Arial" w:cs="Arial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trokov.victor@gmail.com" TargetMode="External"/><Relationship Id="rId10" Type="http://schemas.openxmlformats.org/officeDocument/2006/relationships/hyperlink" Target="https://www.linkedin.com/in/victor-strokov" TargetMode="External"/><Relationship Id="rId11" Type="http://schemas.openxmlformats.org/officeDocument/2006/relationships/hyperlink" Target="https://svitya.com/" TargetMode="External"/><Relationship Id="rId12" Type="http://schemas.openxmlformats.org/officeDocument/2006/relationships/footer" Target="footer1.xml"/><Relationship Id="rId13" Type="http://schemas.openxmlformats.org/officeDocument/2006/relationships/hyperlink" Target="https://t.me/vstrok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Виктор Строков Руководитель направления B2B</dc:title>
  <dc:subject>B2B business development</dc:subject>
  <dc:creator>Виктор Строков</dc:creator>
  <cp:keywords>B2B, market analytics, industry services</cp:keywords>
  <dc:description/>
  <cp:lastModifiedBy>Виктор Строков</cp:lastModifiedBy>
  <cp:revision>1</cp:revision>
  <dcterms:created xsi:type="dcterms:W3CDTF">2013-12-23T23:15:00Z</dcterms:created>
  <dcterms:modified xsi:type="dcterms:W3CDTF">2013-12-23T23:15:00Z</dcterms:modified>
  <cp:category/>
</cp:coreProperties>
</file>