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可行性研究报告</w:t>
      </w:r>
    </w:p>
    <w:p>
      <w:pPr>
        <w:pStyle w:val="Subtitle"/>
      </w:pPr>
      <w:r>
        <w:rPr>
          <w:rFonts w:hint="eastAsia"/>
        </w:rPr>
        <w:t xml:space="preserve">车企销售运营平台-组织与权限底座</w:t>
      </w:r>
    </w:p>
    <w:p>
      <w:pPr>
        <w:pStyle w:val="Author"/>
      </w:pPr>
      <w:r>
        <w:rPr>
          <w:rFonts w:hint="eastAsia"/>
        </w:rPr>
        <w:t xml:space="preserve">主机厂</w:t>
      </w:r>
    </w:p>
    <w:p>
      <w:pPr>
        <w:pStyle w:val="Date"/>
      </w:pPr>
      <w:r>
        <w:rPr>
          <w:rFonts w:hint="eastAsia"/>
        </w:rPr>
        <w:t xml:space="preserve">编制单位：主机厂</w:t>
      </w:r>
      <w:r>
        <w:br/>
      </w:r>
      <w:r>
        <w:rPr>
          <w:rFonts w:hint="eastAsia"/>
        </w:rPr>
        <w:t xml:space="preserve">二零二六年五月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一文档信息"/>
    <w:p>
      <w:pPr>
        <w:pStyle w:val="Heading2"/>
      </w:pPr>
      <w:r>
        <w:rPr>
          <w:rFonts w:hint="eastAsia"/>
        </w:rPr>
        <w:t xml:space="preserve">一、文档信息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项目名称</w:t>
            </w:r>
          </w:p>
        </w:tc>
        <w:tc>
          <w:tcPr/>
          <w:p>
            <w:pPr>
              <w:pStyle w:val="Compact"/>
            </w:pPr>
            <w:r>
              <w:rPr>
                <w:rFonts w:hint="eastAsia"/>
              </w:rPr>
              <w:t xml:space="preserve">车企销售运营平台-组织与权限底座</w:t>
            </w:r>
          </w:p>
        </w:tc>
      </w:tr>
      <w:tr>
        <w:tc>
          <w:tcPr/>
          <w:p>
            <w:pPr>
              <w:pStyle w:val="Compact"/>
            </w:pPr>
            <w:r>
              <w:rPr>
                <w:rFonts w:hint="eastAsia"/>
              </w:rPr>
              <w:t xml:space="preserve">文档版本</w:t>
            </w:r>
          </w:p>
        </w:tc>
        <w:tc>
          <w:tcPr/>
          <w:p>
            <w:pPr>
              <w:pStyle w:val="Compact"/>
            </w:pPr>
            <w:r>
              <w:rPr>
                <w:rFonts w:hint="eastAsia"/>
              </w:rPr>
              <w:t xml:space="preserve">第1版</w:t>
            </w:r>
          </w:p>
        </w:tc>
      </w:tr>
      <w:tr>
        <w:tc>
          <w:tcPr/>
          <w:p>
            <w:pPr>
              <w:pStyle w:val="Compact"/>
            </w:pPr>
            <w:r>
              <w:rPr>
                <w:rFonts w:hint="eastAsia"/>
              </w:rPr>
              <w:t xml:space="preserve">编制日期</w:t>
            </w:r>
          </w:p>
        </w:tc>
        <w:tc>
          <w:tcPr/>
          <w:p>
            <w:pPr>
              <w:pStyle w:val="Compact"/>
            </w:pPr>
            <w:r>
              <w:t xml:space="preserve">2026-05-10</w:t>
            </w:r>
          </w:p>
        </w:tc>
      </w:tr>
      <w:tr>
        <w:tc>
          <w:tcPr/>
          <w:p>
            <w:pPr>
              <w:pStyle w:val="Compact"/>
            </w:pPr>
            <w:r>
              <w:rPr>
                <w:rFonts w:hint="eastAsia"/>
              </w:rPr>
              <w:t xml:space="preserve">编制人</w:t>
            </w:r>
          </w:p>
        </w:tc>
        <w:tc>
          <w:tcPr/>
          <w:p>
            <w:pPr>
              <w:pStyle w:val="Compact"/>
            </w:pPr>
            <w:r>
              <w:t xml:space="preserve">-</w:t>
            </w:r>
          </w:p>
        </w:tc>
      </w:tr>
      <w:tr>
        <w:tc>
          <w:tcPr/>
          <w:p>
            <w:pPr>
              <w:pStyle w:val="Compact"/>
            </w:pPr>
            <w:r>
              <w:rPr>
                <w:rFonts w:hint="eastAsia"/>
              </w:rPr>
              <w:t xml:space="preserve">审核人</w:t>
            </w:r>
          </w:p>
        </w:tc>
        <w:tc>
          <w:tcPr/>
          <w:p>
            <w:pPr>
              <w:pStyle w:val="Compact"/>
            </w:pPr>
            <w:r>
              <w:t xml:space="preserve">-</w:t>
            </w:r>
          </w:p>
        </w:tc>
      </w:tr>
      <w:tr>
        <w:tc>
          <w:tcPr/>
          <w:p>
            <w:pPr>
              <w:pStyle w:val="Compact"/>
            </w:pPr>
            <w:r>
              <w:rPr>
                <w:rFonts w:hint="eastAsia"/>
              </w:rPr>
              <w:t xml:space="preserve">批准人</w:t>
            </w:r>
          </w:p>
        </w:tc>
        <w:tc>
          <w:tcPr/>
          <w:p>
            <w:pPr>
              <w:pStyle w:val="Compact"/>
            </w:pPr>
            <w:r>
              <w:t xml:space="preserve">-</w:t>
            </w:r>
          </w:p>
        </w:tc>
      </w:tr>
      <w:tr>
        <w:tc>
          <w:tcPr/>
          <w:p>
            <w:pPr>
              <w:pStyle w:val="Compact"/>
            </w:pPr>
            <w:r>
              <w:rPr>
                <w:rFonts w:hint="eastAsia"/>
              </w:rPr>
              <w:t xml:space="preserve">编制单位</w:t>
            </w:r>
          </w:p>
        </w:tc>
        <w:tc>
          <w:tcPr/>
          <w:p>
            <w:pPr>
              <w:pStyle w:val="Compact"/>
            </w:pPr>
            <w:r>
              <w:rPr>
                <w:rFonts w:hint="eastAsia"/>
              </w:rPr>
              <w:t xml:space="preserve">主机厂</w:t>
            </w:r>
          </w:p>
        </w:tc>
      </w:tr>
      <w:tr>
        <w:tc>
          <w:tcPr/>
          <w:p>
            <w:pPr>
              <w:pStyle w:val="Compact"/>
            </w:pPr>
            <w:r>
              <w:rPr>
                <w:rFonts w:hint="eastAsia"/>
              </w:rPr>
              <w:t xml:space="preserve">项目类型</w:t>
            </w:r>
          </w:p>
        </w:tc>
        <w:tc>
          <w:tcPr/>
          <w:p>
            <w:pPr>
              <w:pStyle w:val="Compact"/>
            </w:pPr>
            <w:r>
              <w:rPr>
                <w:rFonts w:hint="eastAsia"/>
              </w:rPr>
              <w:t xml:space="preserve">自主研发类</w:t>
            </w:r>
          </w:p>
        </w:tc>
      </w:tr>
      <w:tr>
        <w:tc>
          <w:tcPr/>
          <w:p>
            <w:pPr>
              <w:pStyle w:val="Compact"/>
            </w:pPr>
            <w:r>
              <w:rPr>
                <w:rFonts w:hint="eastAsia"/>
              </w:rPr>
              <w:t xml:space="preserve">文档状态</w:t>
            </w:r>
          </w:p>
        </w:tc>
        <w:tc>
          <w:tcPr/>
          <w:p>
            <w:pPr>
              <w:pStyle w:val="Compact"/>
            </w:pPr>
            <w:r>
              <w:rPr>
                <w:rFonts w:hint="eastAsia"/>
              </w:rPr>
              <w:t xml:space="preserve">草稿</w:t>
            </w:r>
          </w:p>
        </w:tc>
      </w:tr>
    </w:tbl>
    <w:p>
      <w:pPr>
        <w:pStyle w:val="BodyText"/>
      </w:pPr>
      <w:r>
        <w:rPr>
          <w:rFonts w:hint="eastAsia"/>
          <w:b/>
          <w:bCs/>
        </w:rPr>
        <w:t xml:space="preserve">历史版本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版本</w:t>
            </w:r>
          </w:p>
        </w:tc>
        <w:tc>
          <w:tcPr/>
          <w:p>
            <w:pPr>
              <w:pStyle w:val="Compact"/>
            </w:pPr>
            <w:r>
              <w:rPr>
                <w:rFonts w:hint="eastAsia"/>
              </w:rPr>
              <w:t xml:space="preserve">日期</w:t>
            </w:r>
          </w:p>
        </w:tc>
        <w:tc>
          <w:tcPr/>
          <w:p>
            <w:pPr>
              <w:pStyle w:val="Compact"/>
            </w:pPr>
            <w:r>
              <w:rPr>
                <w:rFonts w:hint="eastAsia"/>
              </w:rPr>
              <w:t xml:space="preserve">作者</w:t>
            </w:r>
          </w:p>
        </w:tc>
        <w:tc>
          <w:tcPr/>
          <w:p>
            <w:pPr>
              <w:pStyle w:val="Compact"/>
            </w:pPr>
            <w:r>
              <w:rPr>
                <w:rFonts w:hint="eastAsia"/>
              </w:rPr>
              <w:t xml:space="preserve">更改说明</w:t>
            </w:r>
          </w:p>
        </w:tc>
      </w:tr>
      <w:tr>
        <w:tc>
          <w:tcPr/>
          <w:p>
            <w:pPr>
              <w:pStyle w:val="Compact"/>
            </w:pPr>
            <w:r>
              <w:rPr>
                <w:rFonts w:hint="eastAsia"/>
              </w:rPr>
              <w:t xml:space="preserve">第1版</w:t>
            </w:r>
          </w:p>
        </w:tc>
        <w:tc>
          <w:tcPr/>
          <w:p>
            <w:pPr>
              <w:pStyle w:val="Compact"/>
            </w:pPr>
            <w:r>
              <w:t xml:space="preserve">2026-05-10</w:t>
            </w:r>
          </w:p>
        </w:tc>
        <w:tc>
          <w:tcPr/>
          <w:p>
            <w:pPr>
              <w:pStyle w:val="Compact"/>
            </w:pPr>
            <w:r>
              <w:t xml:space="preserve">-</w:t>
            </w:r>
          </w:p>
        </w:tc>
        <w:tc>
          <w:tcPr/>
          <w:p>
            <w:pPr>
              <w:pStyle w:val="Compact"/>
            </w:pPr>
            <w:r>
              <w:rPr>
                <w:rFonts w:hint="eastAsia"/>
              </w:rPr>
              <w:t xml:space="preserve">初始版本</w:t>
            </w:r>
          </w:p>
        </w:tc>
      </w:tr>
    </w:tbl>
    <w:p>
      <w:r>
        <w:pict>
          <v:rect style="width:0;height:1.5pt" o:hralign="center" o:hrstd="t" o:hr="t"/>
        </w:pict>
      </w:r>
    </w:p>
    <w:bookmarkEnd w:id="9"/>
    <w:bookmarkStart w:id="15" w:name="一现状及必要性"/>
    <w:p>
      <w:pPr>
        <w:pStyle w:val="Heading2"/>
      </w:pPr>
      <w:r>
        <w:rPr>
          <w:rFonts w:hint="eastAsia"/>
        </w:rPr>
        <w:t xml:space="preserve">一、现状及必要性</w:t>
      </w:r>
    </w:p>
    <w:bookmarkStart w:id="10" w:name="项目背景"/>
    <w:p>
      <w:pPr>
        <w:pStyle w:val="Heading3"/>
      </w:pPr>
      <w:r>
        <w:t xml:space="preserve">1.1 </w:t>
      </w:r>
      <w:r>
        <w:rPr>
          <w:rFonts w:hint="eastAsia"/>
        </w:rPr>
        <w:t xml:space="preserve">项目背景</w:t>
      </w:r>
    </w:p>
    <w:p>
      <w:pPr>
        <w:pStyle w:val="FirstParagraph"/>
      </w:pPr>
      <w:r>
        <w:rPr>
          <w:rFonts w:hint="eastAsia"/>
        </w:rPr>
        <w:t xml:space="preserve">车企销售运营平台面向总部、区域、经销商与门店多层级组织协同运行，业务覆盖线索到成交再到回款、交付与车主运营。由于参与主体多、组织层级深、权限边界复杂，若缺少统一的组织与权限底座，将导致跨层级协作效率低、数据口径不一致、关键操作缺少留痕等问题，进而影响总部经营监控与精细化运营。主要痛点体现在：一是组织边界不清，总部/区域/经销商/门店之间的数据隔离与下钻范围缺少统一规则，造成“看得到/看不到”的争议与风险；二是权限口径不一致，菜单权限、操作权限、数据权限与关键业务权限分散配置，新增组织或人员时配置成本高且容易越权；三是关键操作不可追溯，价格、作废、调拨、退款等高风险业务动作缺少审计留痕将难以满足合规要求与事后追责；四是组织变更影响不可控，门店划转、人员调岗等调整会影响数据归属与报表统计口径，缺少可追溯策略会造成经营数据口径混乱。为解决上述问题，建设“组织与权限底座”模块，统一组织架构、权限模型与数据权限策略，为各业务域提供一致的访问控制与审计能力。</w:t>
      </w:r>
    </w:p>
    <w:bookmarkEnd w:id="10"/>
    <w:bookmarkStart w:id="11" w:name="国内外现状及发展趋势"/>
    <w:p>
      <w:pPr>
        <w:pStyle w:val="Heading3"/>
      </w:pPr>
      <w:r>
        <w:t xml:space="preserve">1.2 </w:t>
      </w:r>
      <w:r>
        <w:rPr>
          <w:rFonts w:hint="eastAsia"/>
        </w:rPr>
        <w:t xml:space="preserve">国内外现状及发展趋势</w:t>
      </w:r>
    </w:p>
    <w:p>
      <w:pPr>
        <w:pStyle w:val="FirstParagraph"/>
      </w:pPr>
      <w:r>
        <w:rPr>
          <w:rFonts w:hint="eastAsia"/>
          <w:b/>
          <w:bCs/>
        </w:rPr>
        <w:t xml:space="preserve">国内现状：</w:t>
      </w:r>
      <w:r>
        <w:t xml:space="preserve"> </w:t>
      </w:r>
      <w:r>
        <w:rPr>
          <w:rFonts w:hint="eastAsia"/>
        </w:rPr>
        <w:t xml:space="preserve">国内车企与经销商体系普遍已建设DMS/CRM/线索管理等系统，但在总部-区域-渠道多层级协同中，常见问题是权限与数据口径分散在各业务系统内，组织主数据与角色体系难以复用，权限变更成本高且风险大。随着精细化运营与跨域协同需求提升，统一的组织主数据与权限底座逐步成为平台化建设的基础能力。</w:t>
      </w:r>
    </w:p>
    <w:p>
      <w:pPr>
        <w:pStyle w:val="BodyText"/>
      </w:pPr>
      <w:r>
        <w:rPr>
          <w:rFonts w:hint="eastAsia"/>
          <w:b/>
          <w:bCs/>
        </w:rPr>
        <w:t xml:space="preserve">国外现状：</w:t>
      </w:r>
      <w:r>
        <w:t xml:space="preserve"> </w:t>
      </w:r>
      <w:r>
        <w:rPr>
          <w:rFonts w:hint="eastAsia"/>
        </w:rPr>
        <w:t xml:space="preserve">国外成熟企业在销售运营与渠道管理中更强调统一身份与访问控制体系，通常将组织、用户、角色与审计能力下沉为平台基础服务，并通过标准化API供各业务域复用，以保障合规与跨域协同效率。</w:t>
      </w:r>
    </w:p>
    <w:p>
      <w:pPr>
        <w:pStyle w:val="BodyText"/>
      </w:pPr>
      <w:r>
        <w:rPr>
          <w:rFonts w:hint="eastAsia"/>
          <w:b/>
          <w:bCs/>
        </w:rPr>
        <w:t xml:space="preserve">发展趋势：</w:t>
      </w:r>
      <w:r>
        <w:t xml:space="preserve"> </w:t>
      </w:r>
      <w:r>
        <w:rPr>
          <w:rFonts w:hint="eastAsia"/>
        </w:rPr>
        <w:t xml:space="preserve">组织与权限领域呈现“平台化+精细化”趋势：细粒度授权（RBAC与数据范围策略结合、逐步引入ABAC）、全链路审计与合规可视化、云原生与弹性伸缩、统一数据治理口径与主数据管理、与单点登录/多因素认证/外部身份源集成等能力逐步成为标配。</w:t>
      </w:r>
    </w:p>
    <w:bookmarkEnd w:id="11"/>
    <w:bookmarkStart w:id="12" w:name="系统现状"/>
    <w:p>
      <w:pPr>
        <w:pStyle w:val="Heading3"/>
      </w:pPr>
      <w:r>
        <w:t xml:space="preserve">1.3 </w:t>
      </w:r>
      <w:r>
        <w:rPr>
          <w:rFonts w:hint="eastAsia"/>
        </w:rPr>
        <w:t xml:space="preserve">系统现状</w:t>
      </w:r>
    </w:p>
    <w:p>
      <w:pPr>
        <w:pStyle w:val="FirstParagraph"/>
      </w:pPr>
      <w:r>
        <w:rPr>
          <w:rFonts w:hint="eastAsia"/>
        </w:rPr>
        <w:t xml:space="preserve">本项目为自主研发类新建模块，本节本项目不涉及，略。</w:t>
      </w:r>
    </w:p>
    <w:bookmarkEnd w:id="12"/>
    <w:bookmarkStart w:id="13" w:name="主流产品分析"/>
    <w:p>
      <w:pPr>
        <w:pStyle w:val="Heading3"/>
      </w:pPr>
      <w:r>
        <w:t xml:space="preserve">1.4 </w:t>
      </w:r>
      <w:r>
        <w:rPr>
          <w:rFonts w:hint="eastAsia"/>
        </w:rPr>
        <w:t xml:space="preserve">主流产品分析</w:t>
      </w:r>
    </w:p>
    <w:p>
      <w:pPr>
        <w:pStyle w:val="FirstParagraph"/>
      </w:pPr>
      <w:r>
        <w:rPr>
          <w:rFonts w:hint="eastAsia"/>
        </w:rPr>
        <w:t xml:space="preserve">本项目为自主研发类建设，本节本项目不涉及，略。</w:t>
      </w:r>
    </w:p>
    <w:bookmarkEnd w:id="13"/>
    <w:bookmarkStart w:id="14" w:name="需求和必要性分析"/>
    <w:p>
      <w:pPr>
        <w:pStyle w:val="Heading3"/>
      </w:pPr>
      <w:r>
        <w:t xml:space="preserve">1.5 </w:t>
      </w:r>
      <w:r>
        <w:rPr>
          <w:rFonts w:hint="eastAsia"/>
        </w:rPr>
        <w:t xml:space="preserve">需求和必要性分析</w:t>
      </w:r>
    </w:p>
    <w:p>
      <w:pPr>
        <w:pStyle w:val="FirstParagraph"/>
      </w:pPr>
      <w:r>
        <w:rPr>
          <w:rFonts w:hint="eastAsia"/>
          <w:b/>
          <w:bCs/>
        </w:rPr>
        <w:t xml:space="preserve">业务需求分析：</w:t>
      </w:r>
      <w:r>
        <w:t xml:space="preserve"> </w:t>
      </w:r>
      <w:r>
        <w:rPr>
          <w:rFonts w:hint="eastAsia"/>
        </w:rPr>
        <w:t xml:space="preserve">车企销售运营平台覆盖“线索→跟进→试驾→报价→订单→收款→交付→车主运营”的全链路业务，涉及总部、区域、经销商与门店多主体协同。组织主数据需要统一维护总部→区域→经销商→门店→员工的层级关系与人员归属；权限需要同时覆盖菜单/操作权限、数据范围（区域/门店/个人等）与关键业务权限（价格、作废、调拨、退款等高风险动作），并要求在权限不足时“禁止访问且隐藏入口”，避免越权与误操作。随着组织调整、人员流动频繁，需支持角色复用、批量授权与复制，降低配置成本，并在门店划转等变更时明确历史数据统计口径（按发生时组织/按当前组织）以保证经营口径一致。</w:t>
      </w:r>
    </w:p>
    <w:p>
      <w:pPr>
        <w:pStyle w:val="BodyText"/>
      </w:pPr>
      <w:r>
        <w:rPr>
          <w:rFonts w:hint="eastAsia"/>
          <w:b/>
          <w:bCs/>
        </w:rPr>
        <w:t xml:space="preserve">必要性分析：</w:t>
      </w:r>
      <w:r>
        <w:rPr>
          <w:rFonts w:hint="eastAsia"/>
        </w:rPr>
        <w:t xml:space="preserve">（1）</w:t>
      </w:r>
      <w:r>
        <w:rPr>
          <w:rFonts w:hint="eastAsia"/>
          <w:b/>
          <w:bCs/>
        </w:rPr>
        <w:t xml:space="preserve">业务发展需要</w:t>
      </w:r>
      <w:r>
        <w:rPr>
          <w:rFonts w:hint="eastAsia"/>
        </w:rPr>
        <w:t xml:space="preserve">：平台化建设要求各业务域在同一组织与权限体系下协同运行，才能支撑总部全局视角、区域下钻分析与经销商/门店日常操作的并存；（2）</w:t>
      </w:r>
      <w:r>
        <w:rPr>
          <w:rFonts w:hint="eastAsia"/>
          <w:b/>
          <w:bCs/>
        </w:rPr>
        <w:t xml:space="preserve">降本增效需要</w:t>
      </w:r>
      <w:r>
        <w:rPr>
          <w:rFonts w:hint="eastAsia"/>
        </w:rPr>
        <w:t xml:space="preserve">：统一底座能力可复用角色与权限策略，减少重复建设与人工配置成本，提升新增组织/人员、调整权限的交付效率；（3）</w:t>
      </w:r>
      <w:r>
        <w:rPr>
          <w:rFonts w:hint="eastAsia"/>
          <w:b/>
          <w:bCs/>
        </w:rPr>
        <w:t xml:space="preserve">合规安全需要</w:t>
      </w:r>
      <w:r>
        <w:rPr>
          <w:rFonts w:hint="eastAsia"/>
        </w:rPr>
        <w:t xml:space="preserve">：最小权限原则与默认隔离是数据安全底线，关键变更与高风险操作必须留痕可追溯、可检索、可导出，以满足审计与追责；（4）</w:t>
      </w:r>
      <w:r>
        <w:rPr>
          <w:rFonts w:hint="eastAsia"/>
          <w:b/>
          <w:bCs/>
        </w:rPr>
        <w:t xml:space="preserve">决策支持需要</w:t>
      </w:r>
      <w:r>
        <w:rPr>
          <w:rFonts w:hint="eastAsia"/>
        </w:rPr>
        <w:t xml:space="preserve">：组织与统计口径一致是指标体系与报表下钻的前提，组织变更可追溯能够保障经营数据的连续性和可解释性；（5）</w:t>
      </w:r>
      <w:r>
        <w:rPr>
          <w:rFonts w:hint="eastAsia"/>
          <w:b/>
          <w:bCs/>
        </w:rPr>
        <w:t xml:space="preserve">自主研发必要性</w:t>
      </w:r>
      <w:r>
        <w:rPr>
          <w:rFonts w:hint="eastAsia"/>
        </w:rPr>
        <w:t xml:space="preserve">：组织权限模型需要深度契合车企多层级渠道管理与业务规则（含组织调整口径策略、关键业务权限项等），通过自主研发可确保可控可扩展、避免对单一供应商产品能力边界的依赖，满足持续迭代与平台化复用需求。</w:t>
      </w:r>
    </w:p>
    <w:p>
      <w:r>
        <w:pict>
          <v:rect style="width:0;height:1.5pt" o:hralign="center" o:hrstd="t" o:hr="t"/>
        </w:pict>
      </w:r>
    </w:p>
    <w:bookmarkEnd w:id="14"/>
    <w:bookmarkEnd w:id="15"/>
    <w:bookmarkStart w:id="24" w:name="二建设目标及内容"/>
    <w:p>
      <w:pPr>
        <w:pStyle w:val="Heading2"/>
      </w:pPr>
      <w:r>
        <w:rPr>
          <w:rFonts w:hint="eastAsia"/>
        </w:rPr>
        <w:t xml:space="preserve">二、建设目标及内容</w:t>
      </w:r>
    </w:p>
    <w:bookmarkStart w:id="16" w:name="顶层设计及总体规划"/>
    <w:p>
      <w:pPr>
        <w:pStyle w:val="Heading3"/>
      </w:pPr>
      <w:r>
        <w:t xml:space="preserve">2.1 </w:t>
      </w:r>
      <w:r>
        <w:rPr>
          <w:rFonts w:hint="eastAsia"/>
        </w:rPr>
        <w:t xml:space="preserve">顶层设计及总体规划</w:t>
      </w:r>
    </w:p>
    <w:p>
      <w:pPr>
        <w:pStyle w:val="FirstParagraph"/>
      </w:pPr>
      <w:r>
        <w:rPr>
          <w:rFonts w:hint="eastAsia"/>
        </w:rPr>
        <w:t xml:space="preserve">车企销售运营平台总体目标是打通“线索</w:t>
      </w:r>
      <w:r>
        <w:t xml:space="preserve"> → </w:t>
      </w:r>
      <w:r>
        <w:rPr>
          <w:rFonts w:hint="eastAsia"/>
        </w:rPr>
        <w:t xml:space="preserve">跟进</w:t>
      </w:r>
      <w:r>
        <w:t xml:space="preserve"> → </w:t>
      </w:r>
      <w:r>
        <w:rPr>
          <w:rFonts w:hint="eastAsia"/>
        </w:rPr>
        <w:t xml:space="preserve">试驾</w:t>
      </w:r>
      <w:r>
        <w:t xml:space="preserve"> → </w:t>
      </w:r>
      <w:r>
        <w:rPr>
          <w:rFonts w:hint="eastAsia"/>
        </w:rPr>
        <w:t xml:space="preserve">报价</w:t>
      </w:r>
      <w:r>
        <w:t xml:space="preserve"> → </w:t>
      </w:r>
      <w:r>
        <w:rPr>
          <w:rFonts w:hint="eastAsia"/>
        </w:rPr>
        <w:t xml:space="preserve">订单</w:t>
      </w:r>
      <w:r>
        <w:t xml:space="preserve"> → </w:t>
      </w:r>
      <w:r>
        <w:rPr>
          <w:rFonts w:hint="eastAsia"/>
        </w:rPr>
        <w:t xml:space="preserve">收款</w:t>
      </w:r>
      <w:r>
        <w:t xml:space="preserve"> → </w:t>
      </w:r>
      <w:r>
        <w:rPr>
          <w:rFonts w:hint="eastAsia"/>
        </w:rPr>
        <w:t xml:space="preserve">交付</w:t>
      </w:r>
      <w:r>
        <w:t xml:space="preserve"> → </w:t>
      </w:r>
      <w:r>
        <w:rPr>
          <w:rFonts w:hint="eastAsia"/>
        </w:rPr>
        <w:t xml:space="preserve">车主运营”的业务闭环，并实现总部/区域/经销商/门店/员工的协同体系与数据口径统一，支撑总部经营监控与精细化运营。本项目建设内容属于平台基础能力层，定位为“组织与权限中心（底座）”，为线索运营、库存协同、销售中心、财务管理、报表驾驶舱等业务域提供统一的组织主数据、权限模型、数据隔离与审计留痕能力，减少各域重复建设与权限口径割裂风险。</w:t>
      </w:r>
    </w:p>
    <w:bookmarkEnd w:id="16"/>
    <w:bookmarkStart w:id="20" w:name="项目建设目标"/>
    <w:p>
      <w:pPr>
        <w:pStyle w:val="Heading3"/>
      </w:pPr>
      <w:r>
        <w:t xml:space="preserve">2.2 </w:t>
      </w:r>
      <w:r>
        <w:rPr>
          <w:rFonts w:hint="eastAsia"/>
        </w:rPr>
        <w:t xml:space="preserve">项目建设目标</w:t>
      </w:r>
    </w:p>
    <w:bookmarkStart w:id="17" w:name="业务及功能目标"/>
    <w:p>
      <w:pPr>
        <w:pStyle w:val="Heading4"/>
      </w:pPr>
      <w:r>
        <w:t xml:space="preserve">2.2.1 </w:t>
      </w:r>
      <w:r>
        <w:rPr>
          <w:rFonts w:hint="eastAsia"/>
        </w:rPr>
        <w:t xml:space="preserve">业务及功能目标</w:t>
      </w:r>
    </w:p>
    <w:p>
      <w:pPr>
        <w:pStyle w:val="FirstParagraph"/>
      </w:pPr>
      <w:r>
        <w:rPr>
          <w:rFonts w:hint="eastAsia"/>
        </w:rPr>
        <w:t xml:space="preserve">本项目建设完成后，实现以下业务及功能目标：</w:t>
      </w:r>
    </w:p>
    <w:p>
      <w:pPr>
        <w:pStyle w:val="Compact"/>
        <w:numPr>
          <w:ilvl w:val="0"/>
          <w:numId w:val="1001"/>
        </w:numPr>
      </w:pPr>
      <w:r>
        <w:rPr>
          <w:rFonts w:hint="eastAsia"/>
          <w:b/>
          <w:bCs/>
        </w:rPr>
        <w:t xml:space="preserve">统一组织架构与人员归属</w:t>
      </w:r>
      <w:r>
        <w:rPr>
          <w:rFonts w:hint="eastAsia"/>
        </w:rPr>
        <w:t xml:space="preserve">：支持总部→区域→经销商→门店→员工多级组织维护，明确人员归属与上下级关系，支撑跨层级管理与业务协同。</w:t>
      </w:r>
    </w:p>
    <w:p>
      <w:pPr>
        <w:pStyle w:val="Compact"/>
        <w:numPr>
          <w:ilvl w:val="0"/>
          <w:numId w:val="1001"/>
        </w:numPr>
      </w:pPr>
      <w:r>
        <w:rPr>
          <w:rFonts w:hint="eastAsia"/>
          <w:b/>
          <w:bCs/>
        </w:rPr>
        <w:t xml:space="preserve">形成可复用的角色与权限体系</w:t>
      </w:r>
      <w:r>
        <w:rPr>
          <w:rFonts w:hint="eastAsia"/>
        </w:rPr>
        <w:t xml:space="preserve">：建立菜单权限、操作权限、数据权限与关键业务权限的统一模型，支持按角色批量授权与快速复制，降低权限配置成本。</w:t>
      </w:r>
    </w:p>
    <w:p>
      <w:pPr>
        <w:pStyle w:val="Compact"/>
        <w:numPr>
          <w:ilvl w:val="0"/>
          <w:numId w:val="1001"/>
        </w:numPr>
      </w:pPr>
      <w:r>
        <w:rPr>
          <w:rFonts w:hint="eastAsia"/>
          <w:b/>
          <w:bCs/>
        </w:rPr>
        <w:t xml:space="preserve">保障默认数据隔离与可控放开</w:t>
      </w:r>
      <w:r>
        <w:rPr>
          <w:rFonts w:hint="eastAsia"/>
        </w:rPr>
        <w:t xml:space="preserve">：以经销商隔离、门店仅看本店、个人仅看本人为默认原则，并支持按角色配置放开范围，满足总部全局视角与区域下钻需求并存。</w:t>
      </w:r>
    </w:p>
    <w:p>
      <w:pPr>
        <w:pStyle w:val="Compact"/>
        <w:numPr>
          <w:ilvl w:val="0"/>
          <w:numId w:val="1001"/>
        </w:numPr>
      </w:pPr>
      <w:r>
        <w:rPr>
          <w:rFonts w:hint="eastAsia"/>
          <w:b/>
          <w:bCs/>
        </w:rPr>
        <w:t xml:space="preserve">实现关键操作全量留痕</w:t>
      </w:r>
      <w:r>
        <w:rPr>
          <w:rFonts w:hint="eastAsia"/>
        </w:rPr>
        <w:t xml:space="preserve">：对组织、人员、角色、权限策略及高风险业务权限等关键变更记录操作人、时间、对象与字段变更明细，支持检索与导出。</w:t>
      </w:r>
    </w:p>
    <w:p>
      <w:pPr>
        <w:pStyle w:val="Compact"/>
        <w:numPr>
          <w:ilvl w:val="0"/>
          <w:numId w:val="1001"/>
        </w:numPr>
      </w:pPr>
      <w:r>
        <w:rPr>
          <w:rFonts w:hint="eastAsia"/>
          <w:b/>
          <w:bCs/>
        </w:rPr>
        <w:t xml:space="preserve">支持组织调整并明确统计口径</w:t>
      </w:r>
      <w:r>
        <w:rPr>
          <w:rFonts w:hint="eastAsia"/>
        </w:rPr>
        <w:t xml:space="preserve">：门店划转、组织合并等变更时，必须选择历史数据统计口径策略（按发生时组织/按当前组织），并形成可追溯记录。</w:t>
      </w:r>
    </w:p>
    <w:bookmarkEnd w:id="17"/>
    <w:bookmarkStart w:id="18" w:name="系统性能目标"/>
    <w:p>
      <w:pPr>
        <w:pStyle w:val="Heading4"/>
      </w:pPr>
      <w:r>
        <w:t xml:space="preserve">2.2.2 </w:t>
      </w:r>
      <w:r>
        <w:rPr>
          <w:rFonts w:hint="eastAsia"/>
        </w:rPr>
        <w:t xml:space="preserve">系统性能目标</w:t>
      </w:r>
    </w:p>
    <w:p>
      <w:pPr>
        <w:pStyle w:val="Compact"/>
        <w:numPr>
          <w:ilvl w:val="0"/>
          <w:numId w:val="1002"/>
        </w:numPr>
      </w:pPr>
      <w:r>
        <w:rPr>
          <w:rFonts w:hint="eastAsia"/>
        </w:rPr>
        <w:t xml:space="preserve">用户规模：支持不少于</w:t>
      </w:r>
      <w:r>
        <w:t xml:space="preserve"> 5000 </w:t>
      </w:r>
      <w:r>
        <w:rPr>
          <w:rFonts w:hint="eastAsia"/>
        </w:rPr>
        <w:t xml:space="preserve">名用户账号规模（总部/区域/经销商/门店）。</w:t>
      </w:r>
    </w:p>
    <w:p>
      <w:pPr>
        <w:pStyle w:val="Compact"/>
        <w:numPr>
          <w:ilvl w:val="0"/>
          <w:numId w:val="1002"/>
        </w:numPr>
      </w:pPr>
      <w:r>
        <w:rPr>
          <w:rFonts w:hint="eastAsia"/>
        </w:rPr>
        <w:t xml:space="preserve">并发用户数：支持不少于</w:t>
      </w:r>
      <w:r>
        <w:t xml:space="preserve"> 300 </w:t>
      </w:r>
      <w:r>
        <w:rPr>
          <w:rFonts w:hint="eastAsia"/>
        </w:rPr>
        <w:t xml:space="preserve">个并发访问。</w:t>
      </w:r>
    </w:p>
    <w:p>
      <w:pPr>
        <w:pStyle w:val="Compact"/>
        <w:numPr>
          <w:ilvl w:val="0"/>
          <w:numId w:val="1002"/>
        </w:numPr>
      </w:pPr>
      <w:r>
        <w:rPr>
          <w:rFonts w:hint="eastAsia"/>
        </w:rPr>
        <w:t xml:space="preserve">响应时间：列表查询</w:t>
      </w:r>
      <w:r>
        <w:t xml:space="preserve"> 95% </w:t>
      </w:r>
      <w:r>
        <w:rPr>
          <w:rFonts w:hint="eastAsia"/>
        </w:rPr>
        <w:t xml:space="preserve">请求在</w:t>
      </w:r>
      <w:r>
        <w:t xml:space="preserve"> 1 </w:t>
      </w:r>
      <w:r>
        <w:rPr>
          <w:rFonts w:hint="eastAsia"/>
        </w:rPr>
        <w:t xml:space="preserve">秒内返回（不含网络波动）；普通配置保存</w:t>
      </w:r>
      <w:r>
        <w:t xml:space="preserve"> &lt; 3 </w:t>
      </w:r>
      <w:r>
        <w:rPr>
          <w:rFonts w:hint="eastAsia"/>
        </w:rPr>
        <w:t xml:space="preserve">秒。</w:t>
      </w:r>
    </w:p>
    <w:p>
      <w:pPr>
        <w:pStyle w:val="Compact"/>
        <w:numPr>
          <w:ilvl w:val="0"/>
          <w:numId w:val="1002"/>
        </w:numPr>
      </w:pPr>
      <w:r>
        <w:rPr>
          <w:rFonts w:hint="eastAsia"/>
        </w:rPr>
        <w:t xml:space="preserve">权限生效：角色或权限调整保存后，对新请求即时生效。</w:t>
      </w:r>
    </w:p>
    <w:p>
      <w:pPr>
        <w:pStyle w:val="Compact"/>
        <w:numPr>
          <w:ilvl w:val="0"/>
          <w:numId w:val="1002"/>
        </w:numPr>
      </w:pPr>
      <w:r>
        <w:rPr>
          <w:rFonts w:hint="eastAsia"/>
        </w:rPr>
        <w:t xml:space="preserve">系统可用性：建议不低于</w:t>
      </w:r>
      <w:r>
        <w:t xml:space="preserve"> 99.9%。</w:t>
      </w:r>
    </w:p>
    <w:bookmarkEnd w:id="18"/>
    <w:bookmarkStart w:id="19" w:name="系统运维目标"/>
    <w:p>
      <w:pPr>
        <w:pStyle w:val="Heading4"/>
      </w:pPr>
      <w:r>
        <w:t xml:space="preserve">2.2.3 </w:t>
      </w:r>
      <w:r>
        <w:rPr>
          <w:rFonts w:hint="eastAsia"/>
        </w:rPr>
        <w:t xml:space="preserve">系统运维目标</w:t>
      </w:r>
    </w:p>
    <w:p>
      <w:pPr>
        <w:pStyle w:val="Compact"/>
        <w:numPr>
          <w:ilvl w:val="0"/>
          <w:numId w:val="1003"/>
        </w:numPr>
      </w:pPr>
      <w:r>
        <w:rPr>
          <w:rFonts w:hint="eastAsia"/>
        </w:rPr>
        <w:t xml:space="preserve">运维响应时效：7×24</w:t>
      </w:r>
      <w:r>
        <w:t xml:space="preserve"> </w:t>
      </w:r>
      <w:r>
        <w:rPr>
          <w:rFonts w:hint="eastAsia"/>
        </w:rPr>
        <w:t xml:space="preserve">小时（核心时段优先保障）。</w:t>
      </w:r>
    </w:p>
    <w:p>
      <w:pPr>
        <w:pStyle w:val="Compact"/>
        <w:numPr>
          <w:ilvl w:val="0"/>
          <w:numId w:val="1003"/>
        </w:numPr>
      </w:pPr>
      <w:r>
        <w:rPr>
          <w:rFonts w:hint="eastAsia"/>
        </w:rPr>
        <w:t xml:space="preserve">故障修复时间：一般故障</w:t>
      </w:r>
      <w:r>
        <w:t xml:space="preserve"> &lt; 4 </w:t>
      </w:r>
      <w:r>
        <w:rPr>
          <w:rFonts w:hint="eastAsia"/>
        </w:rPr>
        <w:t xml:space="preserve">小时，严重故障</w:t>
      </w:r>
      <w:r>
        <w:t xml:space="preserve"> &lt; 1 </w:t>
      </w:r>
      <w:r>
        <w:rPr>
          <w:rFonts w:hint="eastAsia"/>
        </w:rPr>
        <w:t xml:space="preserve">小时（视运维资源配置可调整）。</w:t>
      </w:r>
    </w:p>
    <w:p>
      <w:pPr>
        <w:pStyle w:val="Compact"/>
        <w:numPr>
          <w:ilvl w:val="0"/>
          <w:numId w:val="1003"/>
        </w:numPr>
      </w:pPr>
      <w:r>
        <w:rPr>
          <w:rFonts w:hint="eastAsia"/>
        </w:rPr>
        <w:t xml:space="preserve">运维范围：覆盖组织、员工、角色、权限策略、审计日志与组织调整等核心配置能力，确保变更可追溯、可回溯、可审计。</w:t>
      </w:r>
    </w:p>
    <w:bookmarkEnd w:id="19"/>
    <w:bookmarkEnd w:id="20"/>
    <w:bookmarkStart w:id="21" w:name="项目开发功能"/>
    <w:p>
      <w:pPr>
        <w:pStyle w:val="Heading3"/>
      </w:pPr>
      <w:r>
        <w:t xml:space="preserve">2.3 </w:t>
      </w:r>
      <w:r>
        <w:rPr>
          <w:rFonts w:hint="eastAsia"/>
        </w:rPr>
        <w:t xml:space="preserve">项目开发功能</w:t>
      </w:r>
    </w:p>
    <w:tbl>
      <w:tblPr>
        <w:tblStyle w:val="Table"/>
        <w:tblW w:type="pct" w:w="5000"/>
        <w:tblLayout w:type="fixed"/>
        <w:tblLook w:firstRow="1" w:lastRow="0" w:firstColumn="0" w:lastColumn="0" w:noHBand="0" w:noVBand="0" w:val="0020"/>
      </w:tblPr>
      <w:tblGrid>
        <w:gridCol w:w="1164"/>
        <w:gridCol w:w="2096"/>
        <w:gridCol w:w="3028"/>
        <w:gridCol w:w="1630"/>
      </w:tblGrid>
      <w:tr>
        <w:trPr>
          <w:tblHeader w:val="on"/>
        </w:trPr>
        <w:tc>
          <w:tcPr/>
          <w:p>
            <w:pPr>
              <w:pStyle w:val="Compact"/>
            </w:pPr>
            <w:r>
              <w:rPr>
                <w:rFonts w:hint="eastAsia"/>
              </w:rPr>
              <w:t xml:space="preserve">序号</w:t>
            </w:r>
          </w:p>
        </w:tc>
        <w:tc>
          <w:tcPr/>
          <w:p>
            <w:pPr>
              <w:pStyle w:val="Compact"/>
            </w:pPr>
            <w:r>
              <w:rPr>
                <w:rFonts w:hint="eastAsia"/>
              </w:rPr>
              <w:t xml:space="preserve">功能模块</w:t>
            </w:r>
          </w:p>
        </w:tc>
        <w:tc>
          <w:tcPr/>
          <w:p>
            <w:pPr>
              <w:pStyle w:val="Compact"/>
            </w:pPr>
            <w:r>
              <w:rPr>
                <w:rFonts w:hint="eastAsia"/>
              </w:rPr>
              <w:t xml:space="preserve">功能范围说明</w:t>
            </w:r>
          </w:p>
        </w:tc>
        <w:tc>
          <w:tcPr/>
          <w:p>
            <w:pPr>
              <w:pStyle w:val="Compact"/>
            </w:pPr>
            <w:r>
              <w:rPr>
                <w:rFonts w:hint="eastAsia"/>
              </w:rPr>
              <w:t xml:space="preserve">优先级</w:t>
            </w:r>
          </w:p>
        </w:tc>
      </w:tr>
      <w:tr>
        <w:tc>
          <w:tcPr/>
          <w:p>
            <w:pPr>
              <w:pStyle w:val="Compact"/>
            </w:pPr>
            <w:r>
              <w:t xml:space="preserve">1</w:t>
            </w:r>
          </w:p>
        </w:tc>
        <w:tc>
          <w:tcPr/>
          <w:p>
            <w:pPr>
              <w:pStyle w:val="Compact"/>
            </w:pPr>
            <w:r>
              <w:rPr>
                <w:rFonts w:hint="eastAsia"/>
              </w:rPr>
              <w:t xml:space="preserve">组织管理</w:t>
            </w:r>
          </w:p>
        </w:tc>
        <w:tc>
          <w:tcPr/>
          <w:p>
            <w:pPr>
              <w:pStyle w:val="Compact"/>
            </w:pPr>
            <w:r>
              <w:rPr>
                <w:rFonts w:hint="eastAsia"/>
              </w:rPr>
              <w:t xml:space="preserve">维护总部/区域/经销商/门店多级组织，支持启用/停用与层级关系约束</w:t>
            </w:r>
          </w:p>
        </w:tc>
        <w:tc>
          <w:tcPr/>
          <w:p>
            <w:pPr>
              <w:pStyle w:val="Compact"/>
            </w:pPr>
            <w:r>
              <w:t xml:space="preserve">P0</w:t>
            </w:r>
          </w:p>
        </w:tc>
      </w:tr>
      <w:tr>
        <w:tc>
          <w:tcPr/>
          <w:p>
            <w:pPr>
              <w:pStyle w:val="Compact"/>
            </w:pPr>
            <w:r>
              <w:t xml:space="preserve">2</w:t>
            </w:r>
          </w:p>
        </w:tc>
        <w:tc>
          <w:tcPr/>
          <w:p>
            <w:pPr>
              <w:pStyle w:val="Compact"/>
            </w:pPr>
            <w:r>
              <w:rPr>
                <w:rFonts w:hint="eastAsia"/>
              </w:rPr>
              <w:t xml:space="preserve">员工管理</w:t>
            </w:r>
          </w:p>
        </w:tc>
        <w:tc>
          <w:tcPr/>
          <w:p>
            <w:pPr>
              <w:pStyle w:val="Compact"/>
            </w:pPr>
            <w:r>
              <w:rPr>
                <w:rFonts w:hint="eastAsia"/>
              </w:rPr>
              <w:t xml:space="preserve">员工账号、归属组织、岗位与状态维护，支持调岗与离职处理</w:t>
            </w:r>
          </w:p>
        </w:tc>
        <w:tc>
          <w:tcPr/>
          <w:p>
            <w:pPr>
              <w:pStyle w:val="Compact"/>
            </w:pPr>
            <w:r>
              <w:t xml:space="preserve">P0</w:t>
            </w:r>
          </w:p>
        </w:tc>
      </w:tr>
      <w:tr>
        <w:tc>
          <w:tcPr/>
          <w:p>
            <w:pPr>
              <w:pStyle w:val="Compact"/>
            </w:pPr>
            <w:r>
              <w:t xml:space="preserve">3</w:t>
            </w:r>
          </w:p>
        </w:tc>
        <w:tc>
          <w:tcPr/>
          <w:p>
            <w:pPr>
              <w:pStyle w:val="Compact"/>
            </w:pPr>
            <w:r>
              <w:rPr>
                <w:rFonts w:hint="eastAsia"/>
              </w:rPr>
              <w:t xml:space="preserve">角色管理</w:t>
            </w:r>
          </w:p>
        </w:tc>
        <w:tc>
          <w:tcPr/>
          <w:p>
            <w:pPr>
              <w:pStyle w:val="Compact"/>
            </w:pPr>
            <w:r>
              <w:rPr>
                <w:rFonts w:hint="eastAsia"/>
              </w:rPr>
              <w:t xml:space="preserve">角色维护、授权与复制，支持批量授权与快速复用</w:t>
            </w:r>
          </w:p>
        </w:tc>
        <w:tc>
          <w:tcPr/>
          <w:p>
            <w:pPr>
              <w:pStyle w:val="Compact"/>
            </w:pPr>
            <w:r>
              <w:t xml:space="preserve">P0</w:t>
            </w:r>
          </w:p>
        </w:tc>
      </w:tr>
      <w:tr>
        <w:tc>
          <w:tcPr/>
          <w:p>
            <w:pPr>
              <w:pStyle w:val="Compact"/>
            </w:pPr>
            <w:r>
              <w:t xml:space="preserve">4</w:t>
            </w:r>
          </w:p>
        </w:tc>
        <w:tc>
          <w:tcPr/>
          <w:p>
            <w:pPr>
              <w:pStyle w:val="Compact"/>
            </w:pPr>
            <w:r>
              <w:rPr>
                <w:rFonts w:hint="eastAsia"/>
              </w:rPr>
              <w:t xml:space="preserve">权限策略</w:t>
            </w:r>
          </w:p>
        </w:tc>
        <w:tc>
          <w:tcPr/>
          <w:p>
            <w:pPr>
              <w:pStyle w:val="Compact"/>
            </w:pPr>
            <w:r>
              <w:rPr>
                <w:rFonts w:hint="eastAsia"/>
              </w:rPr>
              <w:t xml:space="preserve">菜单/操作/数据/关键业务权限配置与校验，默认隔离并可控放开</w:t>
            </w:r>
          </w:p>
        </w:tc>
        <w:tc>
          <w:tcPr/>
          <w:p>
            <w:pPr>
              <w:pStyle w:val="Compact"/>
            </w:pPr>
            <w:r>
              <w:t xml:space="preserve">P0</w:t>
            </w:r>
          </w:p>
        </w:tc>
      </w:tr>
      <w:tr>
        <w:tc>
          <w:tcPr/>
          <w:p>
            <w:pPr>
              <w:pStyle w:val="Compact"/>
            </w:pPr>
            <w:r>
              <w:t xml:space="preserve">5</w:t>
            </w:r>
          </w:p>
        </w:tc>
        <w:tc>
          <w:tcPr/>
          <w:p>
            <w:pPr>
              <w:pStyle w:val="Compact"/>
            </w:pPr>
            <w:r>
              <w:rPr>
                <w:rFonts w:hint="eastAsia"/>
              </w:rPr>
              <w:t xml:space="preserve">审计日志</w:t>
            </w:r>
          </w:p>
        </w:tc>
        <w:tc>
          <w:tcPr/>
          <w:p>
            <w:pPr>
              <w:pStyle w:val="Compact"/>
            </w:pPr>
            <w:r>
              <w:rPr>
                <w:rFonts w:hint="eastAsia"/>
              </w:rPr>
              <w:t xml:space="preserve">关键变更留痕查询、字段变更明细下钻与导出</w:t>
            </w:r>
          </w:p>
        </w:tc>
        <w:tc>
          <w:tcPr/>
          <w:p>
            <w:pPr>
              <w:pStyle w:val="Compact"/>
            </w:pPr>
            <w:r>
              <w:t xml:space="preserve">P0</w:t>
            </w:r>
          </w:p>
        </w:tc>
      </w:tr>
      <w:tr>
        <w:tc>
          <w:tcPr/>
          <w:p>
            <w:pPr>
              <w:pStyle w:val="Compact"/>
            </w:pPr>
            <w:r>
              <w:t xml:space="preserve">6</w:t>
            </w:r>
          </w:p>
        </w:tc>
        <w:tc>
          <w:tcPr/>
          <w:p>
            <w:pPr>
              <w:pStyle w:val="Compact"/>
            </w:pPr>
            <w:r>
              <w:rPr>
                <w:rFonts w:hint="eastAsia"/>
              </w:rPr>
              <w:t xml:space="preserve">组织调整</w:t>
            </w:r>
          </w:p>
        </w:tc>
        <w:tc>
          <w:tcPr/>
          <w:p>
            <w:pPr>
              <w:pStyle w:val="Compact"/>
            </w:pPr>
            <w:r>
              <w:rPr>
                <w:rFonts w:hint="eastAsia"/>
              </w:rPr>
              <w:t xml:space="preserve">门店划转/组织合并等调整与口径策略管理，形成可追溯记录</w:t>
            </w:r>
          </w:p>
        </w:tc>
        <w:tc>
          <w:tcPr/>
          <w:p>
            <w:pPr>
              <w:pStyle w:val="Compact"/>
            </w:pPr>
            <w:r>
              <w:t xml:space="preserve">P1</w:t>
            </w:r>
          </w:p>
        </w:tc>
      </w:tr>
    </w:tbl>
    <w:bookmarkEnd w:id="21"/>
    <w:bookmarkStart w:id="22" w:name="项目实施内容"/>
    <w:p>
      <w:pPr>
        <w:pStyle w:val="Heading3"/>
      </w:pPr>
      <w:r>
        <w:t xml:space="preserve">2.4 </w:t>
      </w:r>
      <w:r>
        <w:rPr>
          <w:rFonts w:hint="eastAsia"/>
        </w:rPr>
        <w:t xml:space="preserve">项目实施内容</w:t>
      </w:r>
    </w:p>
    <w:p>
      <w:pPr>
        <w:pStyle w:val="Compact"/>
        <w:numPr>
          <w:ilvl w:val="0"/>
          <w:numId w:val="1004"/>
        </w:numPr>
      </w:pPr>
      <w:r>
        <w:rPr>
          <w:rFonts w:hint="eastAsia"/>
        </w:rPr>
        <w:t xml:space="preserve">需求梳理与确认：梳理组织层级、角色体系、数据范围策略与关键业务权限项清单，明确口径与边界。</w:t>
      </w:r>
    </w:p>
    <w:p>
      <w:pPr>
        <w:pStyle w:val="Compact"/>
        <w:numPr>
          <w:ilvl w:val="0"/>
          <w:numId w:val="1004"/>
        </w:numPr>
      </w:pPr>
      <w:r>
        <w:rPr>
          <w:rFonts w:hint="eastAsia"/>
        </w:rPr>
        <w:t xml:space="preserve">方案设计：组织主数据模型、权限模型与校验规则、审计留痕模型、组织调整口径策略设计。</w:t>
      </w:r>
    </w:p>
    <w:p>
      <w:pPr>
        <w:pStyle w:val="Compact"/>
        <w:numPr>
          <w:ilvl w:val="0"/>
          <w:numId w:val="1004"/>
        </w:numPr>
      </w:pPr>
      <w:r>
        <w:rPr>
          <w:rFonts w:hint="eastAsia"/>
        </w:rPr>
        <w:t xml:space="preserve">系统开发：组织/员工/角色/权限策略/审计/组织调整等功能开发与联调，提供标准化API供业务域复用。</w:t>
      </w:r>
    </w:p>
    <w:p>
      <w:pPr>
        <w:pStyle w:val="Compact"/>
        <w:numPr>
          <w:ilvl w:val="0"/>
          <w:numId w:val="1004"/>
        </w:numPr>
      </w:pPr>
      <w:r>
        <w:rPr>
          <w:rFonts w:hint="eastAsia"/>
        </w:rPr>
        <w:t xml:space="preserve">数据准备与初始化：组织、人员、角色与权限策略的初始化导入与校验，必要时提供批量导入工具。</w:t>
      </w:r>
    </w:p>
    <w:p>
      <w:pPr>
        <w:pStyle w:val="Compact"/>
        <w:numPr>
          <w:ilvl w:val="0"/>
          <w:numId w:val="1004"/>
        </w:numPr>
      </w:pPr>
      <w:r>
        <w:rPr>
          <w:rFonts w:hint="eastAsia"/>
        </w:rPr>
        <w:t xml:space="preserve">测试与验收：覆盖权限越权、数据隔离、组织变更口径、审计留痕完整性等关键场景；组织UAT与回归。</w:t>
      </w:r>
    </w:p>
    <w:p>
      <w:pPr>
        <w:pStyle w:val="Compact"/>
        <w:numPr>
          <w:ilvl w:val="0"/>
          <w:numId w:val="1004"/>
        </w:numPr>
      </w:pPr>
      <w:r>
        <w:rPr>
          <w:rFonts w:hint="eastAsia"/>
        </w:rPr>
        <w:t xml:space="preserve">上线与推广：灰度发布、权限切换策略、上线培训与运行保障。</w:t>
      </w:r>
    </w:p>
    <w:bookmarkEnd w:id="22"/>
    <w:bookmarkStart w:id="23" w:name="项目运维方案"/>
    <w:p>
      <w:pPr>
        <w:pStyle w:val="Heading3"/>
      </w:pPr>
      <w:r>
        <w:t xml:space="preserve">2.5 </w:t>
      </w:r>
      <w:r>
        <w:rPr>
          <w:rFonts w:hint="eastAsia"/>
        </w:rPr>
        <w:t xml:space="preserve">项目运维方案</w:t>
      </w:r>
    </w:p>
    <w:p>
      <w:pPr>
        <w:pStyle w:val="Compact"/>
        <w:numPr>
          <w:ilvl w:val="0"/>
          <w:numId w:val="1005"/>
        </w:numPr>
      </w:pPr>
      <w:r>
        <w:rPr>
          <w:rFonts w:hint="eastAsia"/>
        </w:rPr>
        <w:t xml:space="preserve">账号与权限运维：建立角色模板与变更流程，权限变更需审计留痕并支持回溯。</w:t>
      </w:r>
    </w:p>
    <w:p>
      <w:pPr>
        <w:pStyle w:val="Compact"/>
        <w:numPr>
          <w:ilvl w:val="0"/>
          <w:numId w:val="1005"/>
        </w:numPr>
      </w:pPr>
      <w:r>
        <w:rPr>
          <w:rFonts w:hint="eastAsia"/>
        </w:rPr>
        <w:t xml:space="preserve">日志与审计：审计日志可检索与导出，保留期限按合规要求执行；组织调整记录永久保留。</w:t>
      </w:r>
    </w:p>
    <w:p>
      <w:pPr>
        <w:pStyle w:val="Compact"/>
        <w:numPr>
          <w:ilvl w:val="0"/>
          <w:numId w:val="1005"/>
        </w:numPr>
      </w:pPr>
      <w:r>
        <w:rPr>
          <w:rFonts w:hint="eastAsia"/>
        </w:rPr>
        <w:t xml:space="preserve">备份与恢复：组织主数据与权限配置按日备份，支持按时间点恢复与差异核对。</w:t>
      </w:r>
    </w:p>
    <w:p>
      <w:pPr>
        <w:pStyle w:val="Compact"/>
        <w:numPr>
          <w:ilvl w:val="0"/>
          <w:numId w:val="1005"/>
        </w:numPr>
      </w:pPr>
      <w:r>
        <w:rPr>
          <w:rFonts w:hint="eastAsia"/>
        </w:rPr>
        <w:t xml:space="preserve">监控与告警：登录失败、权限校验异常、关键配置变更、接口错误率与响应时间等纳入监控告警。</w:t>
      </w:r>
    </w:p>
    <w:p>
      <w:r>
        <w:pict>
          <v:rect style="width:0;height:1.5pt" o:hralign="center" o:hrstd="t" o:hr="t"/>
        </w:pict>
      </w:r>
    </w:p>
    <w:bookmarkEnd w:id="23"/>
    <w:bookmarkEnd w:id="24"/>
    <w:bookmarkStart w:id="41" w:name="三技术方案"/>
    <w:p>
      <w:pPr>
        <w:pStyle w:val="Heading2"/>
      </w:pPr>
      <w:r>
        <w:rPr>
          <w:rFonts w:hint="eastAsia"/>
        </w:rPr>
        <w:t xml:space="preserve">三、技术方案</w:t>
      </w:r>
    </w:p>
    <w:bookmarkStart w:id="36" w:name="技术路线"/>
    <w:p>
      <w:pPr>
        <w:pStyle w:val="Heading3"/>
      </w:pPr>
      <w:r>
        <w:t xml:space="preserve">3.1 </w:t>
      </w:r>
      <w:r>
        <w:rPr>
          <w:rFonts w:hint="eastAsia"/>
        </w:rPr>
        <w:t xml:space="preserve">技术路线</w:t>
      </w:r>
    </w:p>
    <w:bookmarkStart w:id="28" w:name="总体架构"/>
    <w:p>
      <w:pPr>
        <w:pStyle w:val="Heading4"/>
      </w:pPr>
      <w:r>
        <w:t xml:space="preserve">3.1.1 </w:t>
      </w:r>
      <w:r>
        <w:rPr>
          <w:rFonts w:hint="eastAsia"/>
        </w:rPr>
        <w:t xml:space="preserve">总体架构</w:t>
      </w:r>
    </w:p>
    <w:p>
      <w:pPr>
        <w:pStyle w:val="FirstParagraph"/>
      </w:pPr>
      <w:r>
        <w:rPr>
          <w:rFonts w:hint="eastAsia"/>
        </w:rPr>
        <w:t xml:space="preserve">建议采用B/S架构与前后端分离模式，组织与权限底座以“基础能力服务+管理端”方式提供：管理端用于组织、人员、角色与策略配置；服务端对外提供统一鉴权、数据范围计算、审计留痕等能力接口，供各业务域复用。</w:t>
      </w:r>
    </w:p>
    <w:p>
      <w:pPr>
        <w:pStyle w:val="BodyText"/>
      </w:pPr>
      <w:r>
        <w:drawing>
          <wp:inline>
            <wp:extent cx="5334000" cy="2231031"/>
            <wp:effectExtent b="0" l="0" r="0" t="0"/>
            <wp:docPr descr="" title="" id="26" name="Picture"/>
            <a:graphic>
              <a:graphicData uri="http://schemas.openxmlformats.org/drawingml/2006/picture">
                <pic:pic>
                  <pic:nvPicPr>
                    <pic:cNvPr descr="images/system-architecture.png" id="27" name="Picture"/>
                    <pic:cNvPicPr>
                      <a:picLocks noChangeArrowheads="1" noChangeAspect="1"/>
                    </pic:cNvPicPr>
                  </pic:nvPicPr>
                  <pic:blipFill>
                    <a:blip r:embed="rId25"/>
                    <a:stretch>
                      <a:fillRect/>
                    </a:stretch>
                  </pic:blipFill>
                  <pic:spPr bwMode="auto">
                    <a:xfrm>
                      <a:off x="0" y="0"/>
                      <a:ext cx="5334000" cy="2231031"/>
                    </a:xfrm>
                    <a:prstGeom prst="rect">
                      <a:avLst/>
                    </a:prstGeom>
                    <a:noFill/>
                    <a:ln w="9525">
                      <a:noFill/>
                      <a:headEnd/>
                      <a:tailEnd/>
                    </a:ln>
                  </pic:spPr>
                </pic:pic>
              </a:graphicData>
            </a:graphic>
          </wp:inline>
        </w:drawing>
      </w:r>
    </w:p>
    <w:bookmarkEnd w:id="28"/>
    <w:bookmarkStart w:id="29" w:name="应用架构"/>
    <w:p>
      <w:pPr>
        <w:pStyle w:val="Heading4"/>
      </w:pPr>
      <w:r>
        <w:t xml:space="preserve">3.1.2 </w:t>
      </w:r>
      <w:r>
        <w:rPr>
          <w:rFonts w:hint="eastAsia"/>
        </w:rPr>
        <w:t xml:space="preserve">应用架构</w:t>
      </w:r>
    </w:p>
    <w:p>
      <w:pPr>
        <w:pStyle w:val="Compact"/>
        <w:numPr>
          <w:ilvl w:val="0"/>
          <w:numId w:val="1006"/>
        </w:numPr>
      </w:pPr>
      <w:r>
        <w:rPr>
          <w:rFonts w:hint="eastAsia"/>
        </w:rPr>
        <w:t xml:space="preserve">管理端应用：PC端管理后台（Web应用），面向总部/区域/经销商管理员等角色进行配置与审计查询。</w:t>
      </w:r>
    </w:p>
    <w:p>
      <w:pPr>
        <w:pStyle w:val="Compact"/>
        <w:numPr>
          <w:ilvl w:val="0"/>
          <w:numId w:val="1006"/>
        </w:numPr>
      </w:pPr>
      <w:r>
        <w:rPr>
          <w:rFonts w:hint="eastAsia"/>
        </w:rPr>
        <w:t xml:space="preserve">基础服务（建议）：组织服务、权限服务、审计服务，提供REST</w:t>
      </w:r>
      <w:r>
        <w:t xml:space="preserve"> </w:t>
      </w:r>
      <w:r>
        <w:rPr>
          <w:rFonts w:hint="eastAsia"/>
        </w:rPr>
        <w:t xml:space="preserve">API并支持与业务域服务调用集成。</w:t>
      </w:r>
    </w:p>
    <w:p>
      <w:pPr>
        <w:pStyle w:val="Compact"/>
        <w:numPr>
          <w:ilvl w:val="0"/>
          <w:numId w:val="1006"/>
        </w:numPr>
      </w:pPr>
      <w:r>
        <w:rPr>
          <w:rFonts w:hint="eastAsia"/>
        </w:rPr>
        <w:t xml:space="preserve">业务域应用：线索、销售、库存、财务、报表等业务域在统一权限底座约束下运行。</w:t>
      </w:r>
    </w:p>
    <w:bookmarkEnd w:id="29"/>
    <w:bookmarkStart w:id="30" w:name="数据架构"/>
    <w:p>
      <w:pPr>
        <w:pStyle w:val="Heading4"/>
      </w:pPr>
      <w:r>
        <w:t xml:space="preserve">3.1.3 </w:t>
      </w:r>
      <w:r>
        <w:rPr>
          <w:rFonts w:hint="eastAsia"/>
        </w:rPr>
        <w:t xml:space="preserve">数据架构</w:t>
      </w:r>
    </w:p>
    <w:p>
      <w:pPr>
        <w:pStyle w:val="Compact"/>
        <w:numPr>
          <w:ilvl w:val="0"/>
          <w:numId w:val="1007"/>
        </w:numPr>
      </w:pPr>
      <w:r>
        <w:rPr>
          <w:rFonts w:hint="eastAsia"/>
        </w:rPr>
        <w:t xml:space="preserve">主数据：组织（Org）、员工（Employee）、角色（Role）、权限项（Permission）、数据范围策略（DataScopePolicy）。</w:t>
      </w:r>
    </w:p>
    <w:p>
      <w:pPr>
        <w:pStyle w:val="Compact"/>
        <w:numPr>
          <w:ilvl w:val="0"/>
          <w:numId w:val="1007"/>
        </w:numPr>
      </w:pPr>
      <w:r>
        <w:rPr>
          <w:rFonts w:hint="eastAsia"/>
        </w:rPr>
        <w:t xml:space="preserve">过程数据：角色授权记录、权限变更记录、组织调整记录、审计日志（含字段变更明细）。</w:t>
      </w:r>
    </w:p>
    <w:p>
      <w:pPr>
        <w:pStyle w:val="Compact"/>
        <w:numPr>
          <w:ilvl w:val="0"/>
          <w:numId w:val="1007"/>
        </w:numPr>
      </w:pPr>
      <w:r>
        <w:rPr>
          <w:rFonts w:hint="eastAsia"/>
        </w:rPr>
        <w:t xml:space="preserve">口径数据：组织调整口径策略（按发生时组织/按当前组织）作为报表与历史归属的口径依据。</w:t>
      </w:r>
    </w:p>
    <w:bookmarkEnd w:id="30"/>
    <w:bookmarkStart w:id="31" w:name="技术架构"/>
    <w:p>
      <w:pPr>
        <w:pStyle w:val="Heading4"/>
      </w:pPr>
      <w:r>
        <w:t xml:space="preserve">3.1.4 </w:t>
      </w:r>
      <w:r>
        <w:rPr>
          <w:rFonts w:hint="eastAsia"/>
        </w:rPr>
        <w:t xml:space="preserve">技术架构</w:t>
      </w:r>
    </w:p>
    <w:p>
      <w:pPr>
        <w:pStyle w:val="Compact"/>
        <w:numPr>
          <w:ilvl w:val="0"/>
          <w:numId w:val="1008"/>
        </w:numPr>
      </w:pPr>
      <w:r>
        <w:rPr>
          <w:rFonts w:hint="eastAsia"/>
        </w:rPr>
        <w:t xml:space="preserve">前端（现有工程栈）：Vue</w:t>
      </w:r>
      <w:r>
        <w:t xml:space="preserve"> 3 + TypeScript + Vite + Element </w:t>
      </w:r>
      <w:r>
        <w:rPr>
          <w:rFonts w:hint="eastAsia"/>
        </w:rPr>
        <w:t xml:space="preserve">Plus，状态管理使用</w:t>
      </w:r>
      <w:r>
        <w:t xml:space="preserve"> </w:t>
      </w:r>
      <w:r>
        <w:rPr>
          <w:rFonts w:hint="eastAsia"/>
        </w:rPr>
        <w:t xml:space="preserve">Pinia，网络请求使用</w:t>
      </w:r>
      <w:r>
        <w:t xml:space="preserve"> Axios。</w:t>
      </w:r>
    </w:p>
    <w:p>
      <w:pPr>
        <w:pStyle w:val="Compact"/>
        <w:numPr>
          <w:ilvl w:val="0"/>
          <w:numId w:val="1008"/>
        </w:numPr>
      </w:pPr>
      <w:r>
        <w:rPr>
          <w:rFonts w:hint="eastAsia"/>
        </w:rPr>
        <w:t xml:space="preserve">后端（建议）：Java/Spring</w:t>
      </w:r>
      <w:r>
        <w:t xml:space="preserve"> Boot </w:t>
      </w:r>
      <w:r>
        <w:rPr>
          <w:rFonts w:hint="eastAsia"/>
        </w:rPr>
        <w:t xml:space="preserve">或</w:t>
      </w:r>
      <w:r>
        <w:t xml:space="preserve"> Node.js </w:t>
      </w:r>
      <w:r>
        <w:rPr>
          <w:rFonts w:hint="eastAsia"/>
        </w:rPr>
        <w:t xml:space="preserve">服务化架构，对外提供RESTful</w:t>
      </w:r>
      <w:r>
        <w:t xml:space="preserve"> </w:t>
      </w:r>
      <w:r>
        <w:rPr>
          <w:rFonts w:hint="eastAsia"/>
        </w:rPr>
        <w:t xml:space="preserve">API；权限校验作为统一中间件/网关能力下沉。</w:t>
      </w:r>
    </w:p>
    <w:p>
      <w:pPr>
        <w:pStyle w:val="Compact"/>
        <w:numPr>
          <w:ilvl w:val="0"/>
          <w:numId w:val="1008"/>
        </w:numPr>
      </w:pPr>
      <w:r>
        <w:rPr>
          <w:rFonts w:hint="eastAsia"/>
        </w:rPr>
        <w:t xml:space="preserve">数据存储（建议）：关系型数据库（如MySQL）存储组织、账号、角色与策略等配置数据；缓存（如Redis）用于权限结果缓存与热点组织树缓存。</w:t>
      </w:r>
    </w:p>
    <w:bookmarkEnd w:id="31"/>
    <w:bookmarkStart w:id="32" w:name="集成架构"/>
    <w:p>
      <w:pPr>
        <w:pStyle w:val="Heading4"/>
      </w:pPr>
      <w:r>
        <w:t xml:space="preserve">3.1.5 </w:t>
      </w:r>
      <w:r>
        <w:rPr>
          <w:rFonts w:hint="eastAsia"/>
        </w:rPr>
        <w:t xml:space="preserve">集成架构</w:t>
      </w:r>
    </w:p>
    <w:p>
      <w:pPr>
        <w:pStyle w:val="Compact"/>
        <w:numPr>
          <w:ilvl w:val="0"/>
          <w:numId w:val="1009"/>
        </w:numPr>
      </w:pPr>
      <w:r>
        <w:rPr>
          <w:rFonts w:hint="eastAsia"/>
        </w:rPr>
        <w:t xml:space="preserve">统一鉴权：各业务域在接口层接入统一的鉴权与数据范围计算能力，避免各域重复实现与口径不一致。</w:t>
      </w:r>
    </w:p>
    <w:p>
      <w:pPr>
        <w:pStyle w:val="Compact"/>
        <w:numPr>
          <w:ilvl w:val="0"/>
          <w:numId w:val="1009"/>
        </w:numPr>
      </w:pPr>
      <w:r>
        <w:rPr>
          <w:rFonts w:hint="eastAsia"/>
        </w:rPr>
        <w:t xml:space="preserve">账号体系扩展：支持后续与单点登录/外部身份源对接（本期预留扩展点）。</w:t>
      </w:r>
    </w:p>
    <w:p>
      <w:pPr>
        <w:pStyle w:val="Compact"/>
        <w:numPr>
          <w:ilvl w:val="0"/>
          <w:numId w:val="1009"/>
        </w:numPr>
      </w:pPr>
      <w:r>
        <w:rPr>
          <w:rFonts w:hint="eastAsia"/>
        </w:rPr>
        <w:t xml:space="preserve">审计集成：对组织、人员、角色、策略与关键业务权限变更统一写入审计服务，支持跨域检索与导出。</w:t>
      </w:r>
    </w:p>
    <w:bookmarkEnd w:id="32"/>
    <w:bookmarkStart w:id="33" w:name="部署架构"/>
    <w:p>
      <w:pPr>
        <w:pStyle w:val="Heading4"/>
      </w:pPr>
      <w:r>
        <w:t xml:space="preserve">3.1.6 </w:t>
      </w:r>
      <w:r>
        <w:rPr>
          <w:rFonts w:hint="eastAsia"/>
        </w:rPr>
        <w:t xml:space="preserve">部署架构</w:t>
      </w:r>
    </w:p>
    <w:p>
      <w:pPr>
        <w:pStyle w:val="FirstParagraph"/>
      </w:pPr>
      <w:r>
        <w:rPr>
          <w:rFonts w:hint="eastAsia"/>
        </w:rPr>
        <w:t xml:space="preserve">建议采用至少“应用双实例+数据库主备/高可用”的部署形态：管理端静态资源通过Nginx等Web服务器发布；服务端应用支持横向扩展；数据库与缓存部署在可靠环境中并纳入备份与监控。对于关键配置能力，建议通过灰度与回滚机制降低变更风险。</w:t>
      </w:r>
    </w:p>
    <w:bookmarkEnd w:id="33"/>
    <w:bookmarkStart w:id="34" w:name="性能指标"/>
    <w:p>
      <w:pPr>
        <w:pStyle w:val="Heading4"/>
      </w:pPr>
      <w:r>
        <w:t xml:space="preserve">3.1.7 </w:t>
      </w:r>
      <w:r>
        <w:rPr>
          <w:rFonts w:hint="eastAsia"/>
        </w:rPr>
        <w:t xml:space="preserve">性能指标</w:t>
      </w:r>
    </w:p>
    <w:p>
      <w:pPr>
        <w:pStyle w:val="Compact"/>
        <w:numPr>
          <w:ilvl w:val="0"/>
          <w:numId w:val="1010"/>
        </w:numPr>
      </w:pPr>
      <w:r>
        <w:rPr>
          <w:rFonts w:hint="eastAsia"/>
        </w:rPr>
        <w:t xml:space="preserve">列表查询响应时间：95%</w:t>
      </w:r>
      <w:r>
        <w:t xml:space="preserve"> </w:t>
      </w:r>
      <w:r>
        <w:rPr>
          <w:rFonts w:hint="eastAsia"/>
        </w:rPr>
        <w:t xml:space="preserve">请求在</w:t>
      </w:r>
      <w:r>
        <w:t xml:space="preserve"> 1 </w:t>
      </w:r>
      <w:r>
        <w:rPr>
          <w:rFonts w:hint="eastAsia"/>
        </w:rPr>
        <w:t xml:space="preserve">秒内返回（不含网络波动）。</w:t>
      </w:r>
    </w:p>
    <w:p>
      <w:pPr>
        <w:pStyle w:val="Compact"/>
        <w:numPr>
          <w:ilvl w:val="0"/>
          <w:numId w:val="1010"/>
        </w:numPr>
      </w:pPr>
      <w:r>
        <w:rPr>
          <w:rFonts w:hint="eastAsia"/>
        </w:rPr>
        <w:t xml:space="preserve">权限生效：角色或权限调整保存后，对新请求即时生效。</w:t>
      </w:r>
    </w:p>
    <w:p>
      <w:pPr>
        <w:pStyle w:val="Compact"/>
        <w:numPr>
          <w:ilvl w:val="0"/>
          <w:numId w:val="1010"/>
        </w:numPr>
      </w:pPr>
      <w:r>
        <w:rPr>
          <w:rFonts w:hint="eastAsia"/>
        </w:rPr>
        <w:t xml:space="preserve">审计写入：关键变更审计写入成功率不低于</w:t>
      </w:r>
      <w:r>
        <w:t xml:space="preserve"> </w:t>
      </w:r>
      <w:r>
        <w:rPr>
          <w:rFonts w:hint="eastAsia"/>
        </w:rPr>
        <w:t xml:space="preserve">99.9%，失败需具备补偿或告警机制。</w:t>
      </w:r>
    </w:p>
    <w:bookmarkEnd w:id="34"/>
    <w:bookmarkStart w:id="35" w:name="自主可控要求"/>
    <w:p>
      <w:pPr>
        <w:pStyle w:val="Heading4"/>
      </w:pPr>
      <w:r>
        <w:t xml:space="preserve">3.1.8 </w:t>
      </w:r>
      <w:r>
        <w:rPr>
          <w:rFonts w:hint="eastAsia"/>
        </w:rPr>
        <w:t xml:space="preserve">自主可控要求</w:t>
      </w:r>
    </w:p>
    <w:p>
      <w:pPr>
        <w:pStyle w:val="FirstParagraph"/>
      </w:pPr>
      <w:r>
        <w:rPr>
          <w:rFonts w:hint="eastAsia"/>
        </w:rPr>
        <w:t xml:space="preserve">组织与权限底座涉及全平台访问控制与数据隔离的核心能力，建议采用自主可控的权限模型与策略引擎：权限口径统一、策略可配置、可审计、可扩展，并通过标准接口向业务域输出能力，避免业务域“各自为政”带来的安全与合规风险。</w:t>
      </w:r>
    </w:p>
    <w:bookmarkEnd w:id="35"/>
    <w:bookmarkEnd w:id="36"/>
    <w:bookmarkStart w:id="37" w:name="数据建设方案"/>
    <w:p>
      <w:pPr>
        <w:pStyle w:val="Heading3"/>
      </w:pPr>
      <w:r>
        <w:t xml:space="preserve">3.2 </w:t>
      </w:r>
      <w:r>
        <w:rPr>
          <w:rFonts w:hint="eastAsia"/>
        </w:rPr>
        <w:t xml:space="preserve">数据建设方案</w:t>
      </w:r>
    </w:p>
    <w:p>
      <w:pPr>
        <w:pStyle w:val="Compact"/>
        <w:numPr>
          <w:ilvl w:val="0"/>
          <w:numId w:val="1011"/>
        </w:numPr>
      </w:pPr>
      <w:r>
        <w:rPr>
          <w:rFonts w:hint="eastAsia"/>
        </w:rPr>
        <w:t xml:space="preserve">数据字典：统一组织类型（总部/区域/经销商/门店）、组织与账号状态、数据范围（全部/区域/经销商/门店/个人）、统计口径策略（按发生时组织/按当前组织）、审计动作类型等枚举口径。</w:t>
      </w:r>
    </w:p>
    <w:p>
      <w:pPr>
        <w:pStyle w:val="Compact"/>
        <w:numPr>
          <w:ilvl w:val="0"/>
          <w:numId w:val="1011"/>
        </w:numPr>
      </w:pPr>
      <w:r>
        <w:rPr>
          <w:rFonts w:hint="eastAsia"/>
        </w:rPr>
        <w:t xml:space="preserve">数据质量与约束：组织编码、账号、角色编码全局唯一；组织层级关系满足约束（总部仅顶层、门店不可为上级）；停用组织需校验下级组织与在岗账号状态。</w:t>
      </w:r>
    </w:p>
    <w:p>
      <w:pPr>
        <w:pStyle w:val="Compact"/>
        <w:numPr>
          <w:ilvl w:val="0"/>
          <w:numId w:val="1011"/>
        </w:numPr>
      </w:pPr>
      <w:r>
        <w:rPr>
          <w:rFonts w:hint="eastAsia"/>
        </w:rPr>
        <w:t xml:space="preserve">初始化与迁移：支持组织、人员、角色与策略的批量初始化导入；导入过程提供冲突校验与回滚策略，避免一次性变更引发业务中断。</w:t>
      </w:r>
    </w:p>
    <w:bookmarkEnd w:id="37"/>
    <w:bookmarkStart w:id="38" w:name="系统安全建设方案"/>
    <w:p>
      <w:pPr>
        <w:pStyle w:val="Heading3"/>
      </w:pPr>
      <w:r>
        <w:t xml:space="preserve">3.3 </w:t>
      </w:r>
      <w:r>
        <w:rPr>
          <w:rFonts w:hint="eastAsia"/>
        </w:rPr>
        <w:t xml:space="preserve">系统安全建设方案</w:t>
      </w:r>
    </w:p>
    <w:p>
      <w:pPr>
        <w:pStyle w:val="Compact"/>
        <w:numPr>
          <w:ilvl w:val="0"/>
          <w:numId w:val="1012"/>
        </w:numPr>
      </w:pPr>
      <w:r>
        <w:rPr>
          <w:rFonts w:hint="eastAsia"/>
        </w:rPr>
        <w:t xml:space="preserve">身份认证：账号密码登录；账号停用后禁止登录；连续多次登录失败触发安全策略（如锁定/验证码/告警）。</w:t>
      </w:r>
    </w:p>
    <w:p>
      <w:pPr>
        <w:pStyle w:val="Compact"/>
        <w:numPr>
          <w:ilvl w:val="0"/>
          <w:numId w:val="1012"/>
        </w:numPr>
      </w:pPr>
      <w:r>
        <w:rPr>
          <w:rFonts w:hint="eastAsia"/>
        </w:rPr>
        <w:t xml:space="preserve">权限控制：基于角色的访问控制，菜单权限控制可访问菜单，操作权限控制可执行操作，数据权限控制可查询与可处理范围，关键业务权限控制高风险操作；无权限访问禁止进入并提示，无权限操作项不展示。</w:t>
      </w:r>
    </w:p>
    <w:p>
      <w:pPr>
        <w:pStyle w:val="Compact"/>
        <w:numPr>
          <w:ilvl w:val="0"/>
          <w:numId w:val="1012"/>
        </w:numPr>
      </w:pPr>
      <w:r>
        <w:rPr>
          <w:rFonts w:hint="eastAsia"/>
        </w:rPr>
        <w:t xml:space="preserve">数据隔离：经销商之间默认不可互看；门店默认仅看本店；个人默认仅看本人；跨层级下钻以数据权限策略授权范围为准。</w:t>
      </w:r>
    </w:p>
    <w:p>
      <w:pPr>
        <w:pStyle w:val="Compact"/>
        <w:numPr>
          <w:ilvl w:val="0"/>
          <w:numId w:val="1012"/>
        </w:numPr>
      </w:pPr>
      <w:r>
        <w:rPr>
          <w:rFonts w:hint="eastAsia"/>
        </w:rPr>
        <w:t xml:space="preserve">敏感信息保护：密码与敏感字段不得以明文方式展示给非授权人员；接口建议采用HTTPS并对关键操作进行防重放与风控校验（视整体安全体系落地）。</w:t>
      </w:r>
    </w:p>
    <w:p>
      <w:pPr>
        <w:pStyle w:val="Compact"/>
        <w:numPr>
          <w:ilvl w:val="0"/>
          <w:numId w:val="1012"/>
        </w:numPr>
      </w:pPr>
      <w:r>
        <w:rPr>
          <w:rFonts w:hint="eastAsia"/>
        </w:rPr>
        <w:t xml:space="preserve">审计留痕：对组织、员工、角色、权限策略、关键业务权限等变更必须记录留痕，包含操作人、操作时间、对象类型、对象标识、动作类型、变更字段明细与结果；审计记录支持检索与导出。</w:t>
      </w:r>
    </w:p>
    <w:bookmarkEnd w:id="38"/>
    <w:bookmarkStart w:id="39" w:name="技术标准规范"/>
    <w:p>
      <w:pPr>
        <w:pStyle w:val="Heading3"/>
      </w:pPr>
      <w:r>
        <w:t xml:space="preserve">3.4 </w:t>
      </w:r>
      <w:r>
        <w:rPr>
          <w:rFonts w:hint="eastAsia"/>
        </w:rPr>
        <w:t xml:space="preserve">技术标准规范</w:t>
      </w:r>
    </w:p>
    <w:p>
      <w:pPr>
        <w:pStyle w:val="Compact"/>
        <w:numPr>
          <w:ilvl w:val="0"/>
          <w:numId w:val="1013"/>
        </w:numPr>
      </w:pPr>
      <w:r>
        <w:rPr>
          <w:rFonts w:hint="eastAsia"/>
        </w:rPr>
        <w:t xml:space="preserve">接口规范：统一REST</w:t>
      </w:r>
      <w:r>
        <w:t xml:space="preserve"> </w:t>
      </w:r>
      <w:r>
        <w:rPr>
          <w:rFonts w:hint="eastAsia"/>
        </w:rPr>
        <w:t xml:space="preserve">API风格、鉴权方式、错误码与返回结构；关键操作必须具备幂等与审计ID。</w:t>
      </w:r>
    </w:p>
    <w:p>
      <w:pPr>
        <w:pStyle w:val="Compact"/>
        <w:numPr>
          <w:ilvl w:val="0"/>
          <w:numId w:val="1013"/>
        </w:numPr>
      </w:pPr>
      <w:r>
        <w:rPr>
          <w:rFonts w:hint="eastAsia"/>
        </w:rPr>
        <w:t xml:space="preserve">权限规范：统一权限点命名规则（菜单/操作/关键业务权限分层），数据范围策略统一解释口径并在业务域复用。</w:t>
      </w:r>
    </w:p>
    <w:p>
      <w:pPr>
        <w:pStyle w:val="Compact"/>
        <w:numPr>
          <w:ilvl w:val="0"/>
          <w:numId w:val="1013"/>
        </w:numPr>
      </w:pPr>
      <w:r>
        <w:rPr>
          <w:rFonts w:hint="eastAsia"/>
        </w:rPr>
        <w:t xml:space="preserve">数据规范：主数据编码规则、枚举字典统一管理，组织调整口径策略作为指标口径治理的一部分纳入评审。</w:t>
      </w:r>
    </w:p>
    <w:p>
      <w:pPr>
        <w:pStyle w:val="Compact"/>
        <w:numPr>
          <w:ilvl w:val="0"/>
          <w:numId w:val="1013"/>
        </w:numPr>
      </w:pPr>
      <w:r>
        <w:rPr>
          <w:rFonts w:hint="eastAsia"/>
        </w:rPr>
        <w:t xml:space="preserve">研发与交付规范：代码规范、分支与发布规范、变更评审与灰度策略、回滚预案与应急流程。</w:t>
      </w:r>
    </w:p>
    <w:bookmarkEnd w:id="39"/>
    <w:bookmarkStart w:id="40" w:name="关键技术"/>
    <w:p>
      <w:pPr>
        <w:pStyle w:val="Heading3"/>
      </w:pPr>
      <w:r>
        <w:t xml:space="preserve">3.5 </w:t>
      </w:r>
      <w:r>
        <w:rPr>
          <w:rFonts w:hint="eastAsia"/>
        </w:rPr>
        <w:t xml:space="preserve">关键技术</w:t>
      </w:r>
    </w:p>
    <w:p>
      <w:pPr>
        <w:pStyle w:val="Compact"/>
        <w:numPr>
          <w:ilvl w:val="0"/>
          <w:numId w:val="1014"/>
        </w:numPr>
      </w:pPr>
      <w:r>
        <w:rPr>
          <w:rFonts w:hint="eastAsia"/>
        </w:rPr>
        <w:t xml:space="preserve">组织树与层级约束：支持多级组织的维护与校验，保障组织关系正确性与可扩展性。</w:t>
      </w:r>
    </w:p>
    <w:p>
      <w:pPr>
        <w:pStyle w:val="Compact"/>
        <w:numPr>
          <w:ilvl w:val="0"/>
          <w:numId w:val="1014"/>
        </w:numPr>
      </w:pPr>
      <w:r>
        <w:rPr>
          <w:rFonts w:hint="eastAsia"/>
        </w:rPr>
        <w:t xml:space="preserve">统一权限模型与生效规则：多个角色下菜单/操作权限合并生效，数据权限按并集生效，关键业务权限按“任一角色具备即具备”生效（可配置）。</w:t>
      </w:r>
    </w:p>
    <w:p>
      <w:pPr>
        <w:pStyle w:val="Compact"/>
        <w:numPr>
          <w:ilvl w:val="0"/>
          <w:numId w:val="1014"/>
        </w:numPr>
      </w:pPr>
      <w:r>
        <w:rPr>
          <w:rFonts w:hint="eastAsia"/>
        </w:rPr>
        <w:t xml:space="preserve">数据范围计算与下钻：实现区域/经销商/门店/个人等范围的统一计算，支撑总部全局视角与区域/门店下钻并存。</w:t>
      </w:r>
    </w:p>
    <w:p>
      <w:pPr>
        <w:pStyle w:val="Compact"/>
        <w:numPr>
          <w:ilvl w:val="0"/>
          <w:numId w:val="1014"/>
        </w:numPr>
      </w:pPr>
      <w:r>
        <w:rPr>
          <w:rFonts w:hint="eastAsia"/>
        </w:rPr>
        <w:t xml:space="preserve">审计变更明细：对关键对象变更形成字段级差异记录，满足合规与追责需要。</w:t>
      </w:r>
    </w:p>
    <w:p>
      <w:pPr>
        <w:pStyle w:val="Compact"/>
        <w:numPr>
          <w:ilvl w:val="0"/>
          <w:numId w:val="1014"/>
        </w:numPr>
      </w:pPr>
      <w:r>
        <w:rPr>
          <w:rFonts w:hint="eastAsia"/>
        </w:rPr>
        <w:t xml:space="preserve">组织调整口径策略：支持组织变更时选择历史数据统计口径（按发生时组织/按当前组织）并可追溯。</w:t>
      </w:r>
    </w:p>
    <w:p>
      <w:r>
        <w:pict>
          <v:rect style="width:0;height:1.5pt" o:hralign="center" o:hrstd="t" o:hr="t"/>
        </w:pict>
      </w:r>
    </w:p>
    <w:bookmarkEnd w:id="40"/>
    <w:bookmarkEnd w:id="41"/>
    <w:bookmarkStart w:id="45" w:name="四投资估算"/>
    <w:p>
      <w:pPr>
        <w:pStyle w:val="Heading2"/>
      </w:pPr>
      <w:r>
        <w:rPr>
          <w:rFonts w:hint="eastAsia"/>
        </w:rPr>
        <w:t xml:space="preserve">四、投资估算</w:t>
      </w:r>
    </w:p>
    <w:p>
      <w:pPr>
        <w:pStyle w:val="FirstParagraph"/>
      </w:pPr>
      <w:r>
        <w:rPr>
          <w:rFonts w:hint="eastAsia"/>
        </w:rPr>
        <w:t xml:space="preserve">本章投资估算以“组织与权限底座”模块建设为范围，金额单位为万元。由于本项目尚未形成正式预算批复与采购清单，投资金额暂按“待定”填写，待项目立项后依据交付范围、人月测算、软硬件选型与部署形态进行细化。</w:t>
      </w:r>
    </w:p>
    <w:bookmarkStart w:id="42" w:name="投资估算汇总"/>
    <w:p>
      <w:pPr>
        <w:pStyle w:val="Heading3"/>
      </w:pPr>
      <w:r>
        <w:t xml:space="preserve">4.1 </w:t>
      </w:r>
      <w:r>
        <w:rPr>
          <w:rFonts w:hint="eastAsia"/>
        </w:rPr>
        <w:t xml:space="preserve">投资估算汇总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费用类别</w:t>
            </w:r>
          </w:p>
        </w:tc>
        <w:tc>
          <w:tcPr/>
          <w:p>
            <w:pPr>
              <w:pStyle w:val="Compact"/>
              <w:jc w:val="right"/>
            </w:pPr>
            <w:r>
              <w:rPr>
                <w:rFonts w:hint="eastAsia"/>
              </w:rPr>
              <w:t xml:space="preserve">金额（万元）</w:t>
            </w:r>
          </w:p>
        </w:tc>
        <w:tc>
          <w:tcPr/>
          <w:p>
            <w:pPr>
              <w:pStyle w:val="Compact"/>
            </w:pPr>
            <w:r>
              <w:rPr>
                <w:rFonts w:hint="eastAsia"/>
              </w:rPr>
              <w:t xml:space="preserve">说明</w:t>
            </w:r>
          </w:p>
        </w:tc>
      </w:tr>
      <w:tr>
        <w:tc>
          <w:tcPr/>
          <w:p>
            <w:pPr>
              <w:pStyle w:val="Compact"/>
            </w:pPr>
            <w:r>
              <w:rPr>
                <w:rFonts w:hint="eastAsia"/>
              </w:rPr>
              <w:t xml:space="preserve">软件购置费</w:t>
            </w:r>
          </w:p>
        </w:tc>
        <w:tc>
          <w:tcPr/>
          <w:p>
            <w:pPr>
              <w:pStyle w:val="Compact"/>
              <w:jc w:val="right"/>
            </w:pPr>
            <w:r>
              <w:rPr>
                <w:rFonts w:hint="eastAsia"/>
              </w:rPr>
              <w:t xml:space="preserve">待定</w:t>
            </w:r>
          </w:p>
        </w:tc>
        <w:tc>
          <w:tcPr/>
          <w:p>
            <w:pPr>
              <w:pStyle w:val="Compact"/>
            </w:pPr>
            <w:r>
              <w:rPr>
                <w:rFonts w:hint="eastAsia"/>
              </w:rPr>
              <w:t xml:space="preserve">中间件/商业组件/第三方服务（如有）</w:t>
            </w:r>
          </w:p>
        </w:tc>
      </w:tr>
      <w:tr>
        <w:tc>
          <w:tcPr/>
          <w:p>
            <w:pPr>
              <w:pStyle w:val="Compact"/>
            </w:pPr>
            <w:r>
              <w:rPr>
                <w:rFonts w:hint="eastAsia"/>
              </w:rPr>
              <w:t xml:space="preserve">硬件购置费</w:t>
            </w:r>
          </w:p>
        </w:tc>
        <w:tc>
          <w:tcPr/>
          <w:p>
            <w:pPr>
              <w:pStyle w:val="Compact"/>
              <w:jc w:val="right"/>
            </w:pPr>
            <w:r>
              <w:rPr>
                <w:rFonts w:hint="eastAsia"/>
              </w:rPr>
              <w:t xml:space="preserve">待定</w:t>
            </w:r>
          </w:p>
        </w:tc>
        <w:tc>
          <w:tcPr/>
          <w:p>
            <w:pPr>
              <w:pStyle w:val="Compact"/>
            </w:pPr>
            <w:r>
              <w:rPr>
                <w:rFonts w:hint="eastAsia"/>
              </w:rPr>
              <w:t xml:space="preserve">服务器/存储/网络/安全设备（如自建）</w:t>
            </w:r>
          </w:p>
        </w:tc>
      </w:tr>
      <w:tr>
        <w:tc>
          <w:tcPr/>
          <w:p>
            <w:pPr>
              <w:pStyle w:val="Compact"/>
            </w:pPr>
            <w:r>
              <w:rPr>
                <w:rFonts w:hint="eastAsia"/>
              </w:rPr>
              <w:t xml:space="preserve">软件开发费</w:t>
            </w:r>
          </w:p>
        </w:tc>
        <w:tc>
          <w:tcPr/>
          <w:p>
            <w:pPr>
              <w:pStyle w:val="Compact"/>
              <w:jc w:val="right"/>
            </w:pPr>
            <w:r>
              <w:rPr>
                <w:rFonts w:hint="eastAsia"/>
              </w:rPr>
              <w:t xml:space="preserve">待定</w:t>
            </w:r>
          </w:p>
        </w:tc>
        <w:tc>
          <w:tcPr/>
          <w:p>
            <w:pPr>
              <w:pStyle w:val="Compact"/>
            </w:pPr>
            <w:r>
              <w:rPr>
                <w:rFonts w:hint="eastAsia"/>
              </w:rPr>
              <w:t xml:space="preserve">需求、设计、开发、测试、上线支持等</w:t>
            </w:r>
          </w:p>
        </w:tc>
      </w:tr>
      <w:tr>
        <w:tc>
          <w:tcPr/>
          <w:p>
            <w:pPr>
              <w:pStyle w:val="Compact"/>
            </w:pPr>
            <w:r>
              <w:rPr>
                <w:rFonts w:hint="eastAsia"/>
              </w:rPr>
              <w:t xml:space="preserve">软件实施费</w:t>
            </w:r>
          </w:p>
        </w:tc>
        <w:tc>
          <w:tcPr/>
          <w:p>
            <w:pPr>
              <w:pStyle w:val="Compact"/>
              <w:jc w:val="right"/>
            </w:pPr>
            <w:r>
              <w:rPr>
                <w:rFonts w:hint="eastAsia"/>
              </w:rPr>
              <w:t xml:space="preserve">待定</w:t>
            </w:r>
          </w:p>
        </w:tc>
        <w:tc>
          <w:tcPr/>
          <w:p>
            <w:pPr>
              <w:pStyle w:val="Compact"/>
            </w:pPr>
            <w:r>
              <w:rPr>
                <w:rFonts w:hint="eastAsia"/>
              </w:rPr>
              <w:t xml:space="preserve">实施、联调、数据初始化、培训、上线保障等</w:t>
            </w:r>
          </w:p>
        </w:tc>
      </w:tr>
      <w:tr>
        <w:tc>
          <w:tcPr/>
          <w:p>
            <w:pPr>
              <w:pStyle w:val="Compact"/>
            </w:pPr>
            <w:r>
              <w:rPr>
                <w:rFonts w:hint="eastAsia"/>
              </w:rPr>
              <w:t xml:space="preserve">数据建设费</w:t>
            </w:r>
          </w:p>
        </w:tc>
        <w:tc>
          <w:tcPr/>
          <w:p>
            <w:pPr>
              <w:pStyle w:val="Compact"/>
              <w:jc w:val="right"/>
            </w:pPr>
            <w:r>
              <w:rPr>
                <w:rFonts w:hint="eastAsia"/>
              </w:rPr>
              <w:t xml:space="preserve">待定</w:t>
            </w:r>
          </w:p>
        </w:tc>
        <w:tc>
          <w:tcPr/>
          <w:p>
            <w:pPr>
              <w:pStyle w:val="Compact"/>
            </w:pPr>
            <w:r>
              <w:rPr>
                <w:rFonts w:hint="eastAsia"/>
              </w:rPr>
              <w:t xml:space="preserve">主数据清洗、导入工具与数据核验等</w:t>
            </w:r>
          </w:p>
        </w:tc>
      </w:tr>
      <w:tr>
        <w:tc>
          <w:tcPr/>
          <w:p>
            <w:pPr>
              <w:pStyle w:val="Compact"/>
            </w:pPr>
            <w:r>
              <w:rPr>
                <w:rFonts w:hint="eastAsia"/>
              </w:rPr>
              <w:t xml:space="preserve">运维服务费</w:t>
            </w:r>
          </w:p>
        </w:tc>
        <w:tc>
          <w:tcPr/>
          <w:p>
            <w:pPr>
              <w:pStyle w:val="Compact"/>
              <w:jc w:val="right"/>
            </w:pPr>
            <w:r>
              <w:rPr>
                <w:rFonts w:hint="eastAsia"/>
              </w:rPr>
              <w:t xml:space="preserve">待定</w:t>
            </w:r>
          </w:p>
        </w:tc>
        <w:tc>
          <w:tcPr/>
          <w:p>
            <w:pPr>
              <w:pStyle w:val="Compact"/>
            </w:pPr>
            <w:r>
              <w:rPr>
                <w:rFonts w:hint="eastAsia"/>
              </w:rPr>
              <w:t xml:space="preserve">监控、备份、巡检、应急与持续保障等</w:t>
            </w:r>
          </w:p>
        </w:tc>
      </w:tr>
      <w:tr>
        <w:tc>
          <w:tcPr/>
          <w:p>
            <w:pPr>
              <w:pStyle w:val="Compact"/>
            </w:pPr>
            <w:r>
              <w:rPr>
                <w:rFonts w:hint="eastAsia"/>
              </w:rPr>
              <w:t xml:space="preserve">其他费用</w:t>
            </w:r>
          </w:p>
        </w:tc>
        <w:tc>
          <w:tcPr/>
          <w:p>
            <w:pPr>
              <w:pStyle w:val="Compact"/>
              <w:jc w:val="right"/>
            </w:pPr>
            <w:r>
              <w:rPr>
                <w:rFonts w:hint="eastAsia"/>
              </w:rPr>
              <w:t xml:space="preserve">待定</w:t>
            </w:r>
          </w:p>
        </w:tc>
        <w:tc>
          <w:tcPr/>
          <w:p>
            <w:pPr>
              <w:pStyle w:val="Compact"/>
            </w:pPr>
            <w:r>
              <w:rPr>
                <w:rFonts w:hint="eastAsia"/>
              </w:rPr>
              <w:t xml:space="preserve">测试环境、等保测评（如纳入本期）等</w:t>
            </w:r>
          </w:p>
        </w:tc>
      </w:tr>
      <w:tr>
        <w:tc>
          <w:tcPr/>
          <w:p>
            <w:pPr>
              <w:pStyle w:val="Compact"/>
            </w:pPr>
            <w:r>
              <w:rPr>
                <w:rFonts w:hint="eastAsia"/>
                <w:b/>
                <w:bCs/>
              </w:rPr>
              <w:t xml:space="preserve">合计</w:t>
            </w:r>
          </w:p>
        </w:tc>
        <w:tc>
          <w:tcPr/>
          <w:p>
            <w:pPr>
              <w:pStyle w:val="Compact"/>
              <w:jc w:val="right"/>
            </w:pPr>
            <w:r>
              <w:rPr>
                <w:rFonts w:hint="eastAsia"/>
                <w:b/>
                <w:bCs/>
              </w:rPr>
              <w:t xml:space="preserve">待定</w:t>
            </w:r>
          </w:p>
        </w:tc>
        <w:tc>
          <w:tcPr/>
          <w:p>
            <w:pPr>
              <w:pStyle w:val="Compact"/>
            </w:pPr>
            <w:r>
              <w:t xml:space="preserve">-</w:t>
            </w:r>
          </w:p>
        </w:tc>
      </w:tr>
    </w:tbl>
    <w:bookmarkEnd w:id="42"/>
    <w:bookmarkStart w:id="43" w:name="投资费用明细"/>
    <w:p>
      <w:pPr>
        <w:pStyle w:val="Heading3"/>
      </w:pPr>
      <w:r>
        <w:t xml:space="preserve">4.2 </w:t>
      </w:r>
      <w:r>
        <w:rPr>
          <w:rFonts w:hint="eastAsia"/>
        </w:rPr>
        <w:t xml:space="preserve">投资费用明细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明细项</w:t>
            </w:r>
          </w:p>
        </w:tc>
        <w:tc>
          <w:tcPr/>
          <w:p>
            <w:pPr>
              <w:pStyle w:val="Compact"/>
              <w:jc w:val="right"/>
            </w:pPr>
            <w:r>
              <w:rPr>
                <w:rFonts w:hint="eastAsia"/>
              </w:rPr>
              <w:t xml:space="preserve">金额（万元）</w:t>
            </w:r>
          </w:p>
        </w:tc>
        <w:tc>
          <w:tcPr/>
          <w:p>
            <w:pPr>
              <w:pStyle w:val="Compact"/>
            </w:pPr>
            <w:r>
              <w:rPr>
                <w:rFonts w:hint="eastAsia"/>
              </w:rPr>
              <w:t xml:space="preserve">口径说明</w:t>
            </w:r>
          </w:p>
        </w:tc>
      </w:tr>
      <w:tr>
        <w:tc>
          <w:tcPr/>
          <w:p>
            <w:pPr>
              <w:pStyle w:val="Compact"/>
            </w:pPr>
            <w:r>
              <w:t xml:space="preserve">4.2.1 </w:t>
            </w:r>
            <w:r>
              <w:rPr>
                <w:rFonts w:hint="eastAsia"/>
              </w:rPr>
              <w:t xml:space="preserve">软件购置费</w:t>
            </w:r>
          </w:p>
        </w:tc>
        <w:tc>
          <w:tcPr/>
          <w:p>
            <w:pPr>
              <w:pStyle w:val="Compact"/>
              <w:jc w:val="right"/>
            </w:pPr>
            <w:r>
              <w:rPr>
                <w:rFonts w:hint="eastAsia"/>
              </w:rPr>
              <w:t xml:space="preserve">待定</w:t>
            </w:r>
          </w:p>
        </w:tc>
        <w:tc>
          <w:tcPr/>
          <w:p>
            <w:pPr>
              <w:pStyle w:val="Compact"/>
            </w:pPr>
            <w:r>
              <w:rPr>
                <w:rFonts w:hint="eastAsia"/>
              </w:rPr>
              <w:t xml:space="preserve">组件/服务订阅/授权等</w:t>
            </w:r>
          </w:p>
        </w:tc>
      </w:tr>
      <w:tr>
        <w:tc>
          <w:tcPr/>
          <w:p>
            <w:pPr>
              <w:pStyle w:val="Compact"/>
            </w:pPr>
            <w:r>
              <w:t xml:space="preserve">4.2.2 </w:t>
            </w:r>
            <w:r>
              <w:rPr>
                <w:rFonts w:hint="eastAsia"/>
              </w:rPr>
              <w:t xml:space="preserve">硬件购置费</w:t>
            </w:r>
          </w:p>
        </w:tc>
        <w:tc>
          <w:tcPr/>
          <w:p>
            <w:pPr>
              <w:pStyle w:val="Compact"/>
              <w:jc w:val="right"/>
            </w:pPr>
            <w:r>
              <w:rPr>
                <w:rFonts w:hint="eastAsia"/>
              </w:rPr>
              <w:t xml:space="preserve">待定</w:t>
            </w:r>
          </w:p>
        </w:tc>
        <w:tc>
          <w:tcPr/>
          <w:p>
            <w:pPr>
              <w:pStyle w:val="Compact"/>
            </w:pPr>
            <w:r>
              <w:rPr>
                <w:rFonts w:hint="eastAsia"/>
              </w:rPr>
              <w:t xml:space="preserve">计算、存储、网络、安全等</w:t>
            </w:r>
          </w:p>
        </w:tc>
      </w:tr>
      <w:tr>
        <w:tc>
          <w:tcPr/>
          <w:p>
            <w:pPr>
              <w:pStyle w:val="Compact"/>
            </w:pPr>
            <w:r>
              <w:t xml:space="preserve">4.2.3 </w:t>
            </w:r>
            <w:r>
              <w:rPr>
                <w:rFonts w:hint="eastAsia"/>
              </w:rPr>
              <w:t xml:space="preserve">软件开发费</w:t>
            </w:r>
          </w:p>
        </w:tc>
        <w:tc>
          <w:tcPr/>
          <w:p>
            <w:pPr>
              <w:pStyle w:val="Compact"/>
              <w:jc w:val="right"/>
            </w:pPr>
            <w:r>
              <w:rPr>
                <w:rFonts w:hint="eastAsia"/>
              </w:rPr>
              <w:t xml:space="preserve">待定</w:t>
            </w:r>
          </w:p>
        </w:tc>
        <w:tc>
          <w:tcPr/>
          <w:p>
            <w:pPr>
              <w:pStyle w:val="Compact"/>
            </w:pPr>
            <w:r>
              <w:rPr>
                <w:rFonts w:hint="eastAsia"/>
              </w:rPr>
              <w:t xml:space="preserve">按人月测算或按合同总价</w:t>
            </w:r>
          </w:p>
        </w:tc>
      </w:tr>
      <w:tr>
        <w:tc>
          <w:tcPr/>
          <w:p>
            <w:pPr>
              <w:pStyle w:val="Compact"/>
            </w:pPr>
            <w:r>
              <w:t xml:space="preserve">4.2.4 </w:t>
            </w:r>
            <w:r>
              <w:rPr>
                <w:rFonts w:hint="eastAsia"/>
              </w:rPr>
              <w:t xml:space="preserve">软件实施费</w:t>
            </w:r>
          </w:p>
        </w:tc>
        <w:tc>
          <w:tcPr/>
          <w:p>
            <w:pPr>
              <w:pStyle w:val="Compact"/>
              <w:jc w:val="right"/>
            </w:pPr>
            <w:r>
              <w:rPr>
                <w:rFonts w:hint="eastAsia"/>
              </w:rPr>
              <w:t xml:space="preserve">待定</w:t>
            </w:r>
          </w:p>
        </w:tc>
        <w:tc>
          <w:tcPr/>
          <w:p>
            <w:pPr>
              <w:pStyle w:val="Compact"/>
            </w:pPr>
            <w:r>
              <w:rPr>
                <w:rFonts w:hint="eastAsia"/>
              </w:rPr>
              <w:t xml:space="preserve">实施驻场、联调与培训等</w:t>
            </w:r>
          </w:p>
        </w:tc>
      </w:tr>
      <w:tr>
        <w:tc>
          <w:tcPr/>
          <w:p>
            <w:pPr>
              <w:pStyle w:val="Compact"/>
            </w:pPr>
            <w:r>
              <w:t xml:space="preserve">4.2.5 </w:t>
            </w:r>
            <w:r>
              <w:rPr>
                <w:rFonts w:hint="eastAsia"/>
              </w:rPr>
              <w:t xml:space="preserve">数据建设费</w:t>
            </w:r>
          </w:p>
        </w:tc>
        <w:tc>
          <w:tcPr/>
          <w:p>
            <w:pPr>
              <w:pStyle w:val="Compact"/>
              <w:jc w:val="right"/>
            </w:pPr>
            <w:r>
              <w:rPr>
                <w:rFonts w:hint="eastAsia"/>
              </w:rPr>
              <w:t xml:space="preserve">待定</w:t>
            </w:r>
          </w:p>
        </w:tc>
        <w:tc>
          <w:tcPr/>
          <w:p>
            <w:pPr>
              <w:pStyle w:val="Compact"/>
            </w:pPr>
            <w:r>
              <w:rPr>
                <w:rFonts w:hint="eastAsia"/>
              </w:rPr>
              <w:t xml:space="preserve">初始化/迁移与数据核验</w:t>
            </w:r>
          </w:p>
        </w:tc>
      </w:tr>
      <w:tr>
        <w:tc>
          <w:tcPr/>
          <w:p>
            <w:pPr>
              <w:pStyle w:val="Compact"/>
            </w:pPr>
            <w:r>
              <w:t xml:space="preserve">4.2.6 </w:t>
            </w:r>
            <w:r>
              <w:rPr>
                <w:rFonts w:hint="eastAsia"/>
              </w:rPr>
              <w:t xml:space="preserve">运维服务费</w:t>
            </w:r>
          </w:p>
        </w:tc>
        <w:tc>
          <w:tcPr/>
          <w:p>
            <w:pPr>
              <w:pStyle w:val="Compact"/>
              <w:jc w:val="right"/>
            </w:pPr>
            <w:r>
              <w:rPr>
                <w:rFonts w:hint="eastAsia"/>
              </w:rPr>
              <w:t xml:space="preserve">待定</w:t>
            </w:r>
          </w:p>
        </w:tc>
        <w:tc>
          <w:tcPr/>
          <w:p>
            <w:pPr>
              <w:pStyle w:val="Compact"/>
            </w:pPr>
            <w:r>
              <w:rPr>
                <w:rFonts w:hint="eastAsia"/>
              </w:rPr>
              <w:t xml:space="preserve">首年运维或年度运维服务</w:t>
            </w:r>
          </w:p>
        </w:tc>
      </w:tr>
      <w:tr>
        <w:tc>
          <w:tcPr/>
          <w:p>
            <w:pPr>
              <w:pStyle w:val="Compact"/>
            </w:pPr>
            <w:r>
              <w:t xml:space="preserve">4.2.7 </w:t>
            </w:r>
            <w:r>
              <w:rPr>
                <w:rFonts w:hint="eastAsia"/>
              </w:rPr>
              <w:t xml:space="preserve">租赁费</w:t>
            </w:r>
          </w:p>
        </w:tc>
        <w:tc>
          <w:tcPr/>
          <w:p>
            <w:pPr>
              <w:pStyle w:val="Compact"/>
              <w:jc w:val="right"/>
            </w:pPr>
            <w:r>
              <w:rPr>
                <w:rFonts w:hint="eastAsia"/>
              </w:rPr>
              <w:t xml:space="preserve">待定</w:t>
            </w:r>
          </w:p>
        </w:tc>
        <w:tc>
          <w:tcPr/>
          <w:p>
            <w:pPr>
              <w:pStyle w:val="Compact"/>
            </w:pPr>
            <w:r>
              <w:rPr>
                <w:rFonts w:hint="eastAsia"/>
              </w:rPr>
              <w:t xml:space="preserve">云资源租赁（如采用云部署）</w:t>
            </w:r>
          </w:p>
        </w:tc>
      </w:tr>
      <w:tr>
        <w:tc>
          <w:tcPr/>
          <w:p>
            <w:pPr>
              <w:pStyle w:val="Compact"/>
            </w:pPr>
            <w:r>
              <w:t xml:space="preserve">4.2.8 </w:t>
            </w:r>
            <w:r>
              <w:rPr>
                <w:rFonts w:hint="eastAsia"/>
              </w:rPr>
              <w:t xml:space="preserve">集中办公费</w:t>
            </w:r>
          </w:p>
        </w:tc>
        <w:tc>
          <w:tcPr/>
          <w:p>
            <w:pPr>
              <w:pStyle w:val="Compact"/>
              <w:jc w:val="right"/>
            </w:pPr>
            <w:r>
              <w:rPr>
                <w:rFonts w:hint="eastAsia"/>
              </w:rPr>
              <w:t xml:space="preserve">待定</w:t>
            </w:r>
          </w:p>
        </w:tc>
        <w:tc>
          <w:tcPr/>
          <w:p>
            <w:pPr>
              <w:pStyle w:val="Compact"/>
            </w:pPr>
            <w:r>
              <w:rPr>
                <w:rFonts w:hint="eastAsia"/>
              </w:rPr>
              <w:t xml:space="preserve">项目集中办公与会议保障（如有）</w:t>
            </w:r>
          </w:p>
        </w:tc>
      </w:tr>
    </w:tbl>
    <w:bookmarkEnd w:id="43"/>
    <w:bookmarkStart w:id="44" w:name="投资分配表"/>
    <w:p>
      <w:pPr>
        <w:pStyle w:val="Heading3"/>
      </w:pPr>
      <w:r>
        <w:t xml:space="preserve">4.3 </w:t>
      </w:r>
      <w:r>
        <w:rPr>
          <w:rFonts w:hint="eastAsia"/>
        </w:rPr>
        <w:t xml:space="preserve">投资分配表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分配维度</w:t>
            </w:r>
          </w:p>
        </w:tc>
        <w:tc>
          <w:tcPr/>
          <w:p>
            <w:pPr>
              <w:pStyle w:val="Compact"/>
              <w:jc w:val="right"/>
            </w:pPr>
            <w:r>
              <w:rPr>
                <w:rFonts w:hint="eastAsia"/>
              </w:rPr>
              <w:t xml:space="preserve">金额（万元）</w:t>
            </w:r>
          </w:p>
        </w:tc>
        <w:tc>
          <w:tcPr/>
          <w:p>
            <w:pPr>
              <w:pStyle w:val="Compact"/>
            </w:pPr>
            <w:r>
              <w:rPr>
                <w:rFonts w:hint="eastAsia"/>
              </w:rPr>
              <w:t xml:space="preserve">说明</w:t>
            </w:r>
          </w:p>
        </w:tc>
      </w:tr>
      <w:tr>
        <w:tc>
          <w:tcPr/>
          <w:p>
            <w:pPr>
              <w:pStyle w:val="Compact"/>
            </w:pPr>
            <w:r>
              <w:rPr>
                <w:rFonts w:hint="eastAsia"/>
              </w:rPr>
              <w:t xml:space="preserve">建设期投入</w:t>
            </w:r>
          </w:p>
        </w:tc>
        <w:tc>
          <w:tcPr/>
          <w:p>
            <w:pPr>
              <w:pStyle w:val="Compact"/>
              <w:jc w:val="right"/>
            </w:pPr>
            <w:r>
              <w:rPr>
                <w:rFonts w:hint="eastAsia"/>
              </w:rPr>
              <w:t xml:space="preserve">待定</w:t>
            </w:r>
          </w:p>
        </w:tc>
        <w:tc>
          <w:tcPr/>
          <w:p>
            <w:pPr>
              <w:pStyle w:val="Compact"/>
            </w:pPr>
            <w:r>
              <w:rPr>
                <w:rFonts w:hint="eastAsia"/>
              </w:rPr>
              <w:t xml:space="preserve">需求-开发-测试-上线阶段投入</w:t>
            </w:r>
          </w:p>
        </w:tc>
      </w:tr>
      <w:tr>
        <w:tc>
          <w:tcPr/>
          <w:p>
            <w:pPr>
              <w:pStyle w:val="Compact"/>
            </w:pPr>
            <w:r>
              <w:rPr>
                <w:rFonts w:hint="eastAsia"/>
              </w:rPr>
              <w:t xml:space="preserve">上线后运维投入</w:t>
            </w:r>
          </w:p>
        </w:tc>
        <w:tc>
          <w:tcPr/>
          <w:p>
            <w:pPr>
              <w:pStyle w:val="Compact"/>
              <w:jc w:val="right"/>
            </w:pPr>
            <w:r>
              <w:rPr>
                <w:rFonts w:hint="eastAsia"/>
              </w:rPr>
              <w:t xml:space="preserve">待定</w:t>
            </w:r>
          </w:p>
        </w:tc>
        <w:tc>
          <w:tcPr/>
          <w:p>
            <w:pPr>
              <w:pStyle w:val="Compact"/>
            </w:pPr>
            <w:r>
              <w:rPr>
                <w:rFonts w:hint="eastAsia"/>
              </w:rPr>
              <w:t xml:space="preserve">首年运维与持续优化投入</w:t>
            </w:r>
          </w:p>
        </w:tc>
      </w:tr>
      <w:tr>
        <w:tc>
          <w:tcPr/>
          <w:p>
            <w:pPr>
              <w:pStyle w:val="Compact"/>
            </w:pPr>
            <w:r>
              <w:rPr>
                <w:rFonts w:hint="eastAsia"/>
                <w:b/>
                <w:bCs/>
              </w:rPr>
              <w:t xml:space="preserve">合计</w:t>
            </w:r>
          </w:p>
        </w:tc>
        <w:tc>
          <w:tcPr/>
          <w:p>
            <w:pPr>
              <w:pStyle w:val="Compact"/>
              <w:jc w:val="right"/>
            </w:pPr>
            <w:r>
              <w:rPr>
                <w:rFonts w:hint="eastAsia"/>
                <w:b/>
                <w:bCs/>
              </w:rPr>
              <w:t xml:space="preserve">待定</w:t>
            </w:r>
          </w:p>
        </w:tc>
        <w:tc>
          <w:tcPr/>
          <w:p>
            <w:pPr>
              <w:pStyle w:val="Compact"/>
            </w:pPr>
            <w:r>
              <w:t xml:space="preserve">-</w:t>
            </w:r>
          </w:p>
        </w:tc>
      </w:tr>
    </w:tbl>
    <w:p>
      <w:r>
        <w:pict>
          <v:rect style="width:0;height:1.5pt" o:hralign="center" o:hrstd="t" o:hr="t"/>
        </w:pict>
      </w:r>
    </w:p>
    <w:bookmarkEnd w:id="44"/>
    <w:bookmarkEnd w:id="45"/>
    <w:bookmarkStart w:id="48" w:name="五项目组织及计划安排"/>
    <w:p>
      <w:pPr>
        <w:pStyle w:val="Heading2"/>
      </w:pPr>
      <w:r>
        <w:rPr>
          <w:rFonts w:hint="eastAsia"/>
        </w:rPr>
        <w:t xml:space="preserve">五、项目组织及计划安排</w:t>
      </w:r>
    </w:p>
    <w:bookmarkStart w:id="46" w:name="项目组织及职责"/>
    <w:p>
      <w:pPr>
        <w:pStyle w:val="Heading3"/>
      </w:pPr>
      <w:r>
        <w:t xml:space="preserve">5.1 </w:t>
      </w:r>
      <w:r>
        <w:rPr>
          <w:rFonts w:hint="eastAsia"/>
        </w:rPr>
        <w:t xml:space="preserve">项目组织及职责</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rPr>
                <w:rFonts w:hint="eastAsia"/>
              </w:rPr>
              <w:t xml:space="preserve">角色/团队</w:t>
            </w:r>
          </w:p>
        </w:tc>
        <w:tc>
          <w:tcPr/>
          <w:p>
            <w:pPr>
              <w:pStyle w:val="Compact"/>
            </w:pPr>
            <w:r>
              <w:rPr>
                <w:rFonts w:hint="eastAsia"/>
              </w:rPr>
              <w:t xml:space="preserve">主要职责</w:t>
            </w:r>
          </w:p>
        </w:tc>
      </w:tr>
      <w:tr>
        <w:tc>
          <w:tcPr/>
          <w:p>
            <w:pPr>
              <w:pStyle w:val="Compact"/>
            </w:pPr>
            <w:r>
              <w:rPr>
                <w:rFonts w:hint="eastAsia"/>
              </w:rPr>
              <w:t xml:space="preserve">项目发起与决策（客户方）</w:t>
            </w:r>
          </w:p>
        </w:tc>
        <w:tc>
          <w:tcPr/>
          <w:p>
            <w:pPr>
              <w:pStyle w:val="Compact"/>
            </w:pPr>
            <w:r>
              <w:rPr>
                <w:rFonts w:hint="eastAsia"/>
              </w:rPr>
              <w:t xml:space="preserve">立项推动、资源协调、重大事项决策与验收批准</w:t>
            </w:r>
          </w:p>
        </w:tc>
      </w:tr>
      <w:tr>
        <w:tc>
          <w:tcPr/>
          <w:p>
            <w:pPr>
              <w:pStyle w:val="Compact"/>
            </w:pPr>
            <w:r>
              <w:rPr>
                <w:rFonts w:hint="eastAsia"/>
              </w:rPr>
              <w:t xml:space="preserve">业务负责人（总部/业务域）</w:t>
            </w:r>
          </w:p>
        </w:tc>
        <w:tc>
          <w:tcPr/>
          <w:p>
            <w:pPr>
              <w:pStyle w:val="Compact"/>
            </w:pPr>
            <w:r>
              <w:rPr>
                <w:rFonts w:hint="eastAsia"/>
              </w:rPr>
              <w:t xml:space="preserve">业务规则确认、口径与边界裁决、关键场景验收</w:t>
            </w:r>
          </w:p>
        </w:tc>
      </w:tr>
      <w:tr>
        <w:tc>
          <w:tcPr/>
          <w:p>
            <w:pPr>
              <w:pStyle w:val="Compact"/>
            </w:pPr>
            <w:r>
              <w:rPr>
                <w:rFonts w:hint="eastAsia"/>
              </w:rPr>
              <w:t xml:space="preserve">项目经理（甲乙双方）</w:t>
            </w:r>
          </w:p>
        </w:tc>
        <w:tc>
          <w:tcPr/>
          <w:p>
            <w:pPr>
              <w:pStyle w:val="Compact"/>
            </w:pPr>
            <w:r>
              <w:rPr>
                <w:rFonts w:hint="eastAsia"/>
              </w:rPr>
              <w:t xml:space="preserve">计划与范围管理、风险与问题跟踪、里程碑推进与交付协调</w:t>
            </w:r>
          </w:p>
        </w:tc>
      </w:tr>
      <w:tr>
        <w:tc>
          <w:tcPr/>
          <w:p>
            <w:pPr>
              <w:pStyle w:val="Compact"/>
            </w:pPr>
            <w:r>
              <w:rPr>
                <w:rFonts w:hint="eastAsia"/>
              </w:rPr>
              <w:t xml:space="preserve">产品/需求</w:t>
            </w:r>
          </w:p>
        </w:tc>
        <w:tc>
          <w:tcPr/>
          <w:p>
            <w:pPr>
              <w:pStyle w:val="Compact"/>
            </w:pPr>
            <w:r>
              <w:rPr>
                <w:rFonts w:hint="eastAsia"/>
              </w:rPr>
              <w:t xml:space="preserve">需求调研、PRD/SRS维护、验收标准与变更控制</w:t>
            </w:r>
          </w:p>
        </w:tc>
      </w:tr>
      <w:tr>
        <w:tc>
          <w:tcPr/>
          <w:p>
            <w:pPr>
              <w:pStyle w:val="Compact"/>
            </w:pPr>
            <w:r>
              <w:rPr>
                <w:rFonts w:hint="eastAsia"/>
              </w:rPr>
              <w:t xml:space="preserve">研发（前端/后端）</w:t>
            </w:r>
          </w:p>
        </w:tc>
        <w:tc>
          <w:tcPr/>
          <w:p>
            <w:pPr>
              <w:pStyle w:val="Compact"/>
            </w:pPr>
            <w:r>
              <w:rPr>
                <w:rFonts w:hint="eastAsia"/>
              </w:rPr>
              <w:t xml:space="preserve">方案设计与开发实现、联调、性能优化与缺陷修复</w:t>
            </w:r>
          </w:p>
        </w:tc>
      </w:tr>
      <w:tr>
        <w:tc>
          <w:tcPr/>
          <w:p>
            <w:pPr>
              <w:pStyle w:val="Compact"/>
            </w:pPr>
            <w:r>
              <w:rPr>
                <w:rFonts w:hint="eastAsia"/>
              </w:rPr>
              <w:t xml:space="preserve">测试/QA</w:t>
            </w:r>
          </w:p>
        </w:tc>
        <w:tc>
          <w:tcPr/>
          <w:p>
            <w:pPr>
              <w:pStyle w:val="Compact"/>
            </w:pPr>
            <w:r>
              <w:rPr>
                <w:rFonts w:hint="eastAsia"/>
              </w:rPr>
              <w:t xml:space="preserve">测试计划、用例设计、功能/权限/安全/回归测试与质量门禁</w:t>
            </w:r>
          </w:p>
        </w:tc>
      </w:tr>
      <w:tr>
        <w:tc>
          <w:tcPr/>
          <w:p>
            <w:pPr>
              <w:pStyle w:val="Compact"/>
            </w:pPr>
            <w:r>
              <w:rPr>
                <w:rFonts w:hint="eastAsia"/>
              </w:rPr>
              <w:t xml:space="preserve">安全/合规（如纳入）</w:t>
            </w:r>
          </w:p>
        </w:tc>
        <w:tc>
          <w:tcPr/>
          <w:p>
            <w:pPr>
              <w:pStyle w:val="Compact"/>
            </w:pPr>
            <w:r>
              <w:rPr>
                <w:rFonts w:hint="eastAsia"/>
              </w:rPr>
              <w:t xml:space="preserve">安全策略与审计要求评审、敏感信息与权限合规检查</w:t>
            </w:r>
          </w:p>
        </w:tc>
      </w:tr>
      <w:tr>
        <w:tc>
          <w:tcPr/>
          <w:p>
            <w:pPr>
              <w:pStyle w:val="Compact"/>
            </w:pPr>
            <w:r>
              <w:rPr>
                <w:rFonts w:hint="eastAsia"/>
              </w:rPr>
              <w:t xml:space="preserve">运维/平台（如纳入）</w:t>
            </w:r>
          </w:p>
        </w:tc>
        <w:tc>
          <w:tcPr/>
          <w:p>
            <w:pPr>
              <w:pStyle w:val="Compact"/>
            </w:pPr>
            <w:r>
              <w:rPr>
                <w:rFonts w:hint="eastAsia"/>
              </w:rPr>
              <w:t xml:space="preserve">环境准备、发布与回滚、监控告警、备份恢复与应急支持</w:t>
            </w:r>
          </w:p>
        </w:tc>
      </w:tr>
    </w:tbl>
    <w:bookmarkEnd w:id="46"/>
    <w:bookmarkStart w:id="47" w:name="里程碑计划"/>
    <w:p>
      <w:pPr>
        <w:pStyle w:val="Heading3"/>
      </w:pPr>
      <w:r>
        <w:t xml:space="preserve">5.2 </w:t>
      </w:r>
      <w:r>
        <w:rPr>
          <w:rFonts w:hint="eastAsia"/>
        </w:rPr>
        <w:t xml:space="preserve">里程碑计划</w:t>
      </w:r>
    </w:p>
    <w:p>
      <w:pPr>
        <w:pStyle w:val="FirstParagraph"/>
      </w:pPr>
      <w:r>
        <w:rPr>
          <w:rFonts w:hint="eastAsia"/>
        </w:rPr>
        <w:t xml:space="preserve">本项目采用“里程碑+迭代交付”方式推进，时间节点以T为可研报告批复/立项批准时间：</w:t>
      </w:r>
    </w:p>
    <w:tbl>
      <w:tblPr>
        <w:tblStyle w:val="Table"/>
        <w:tblW w:type="pct" w:w="5000"/>
        <w:tblLayout w:type="fixed"/>
        <w:tblLook w:firstRow="1" w:lastRow="0" w:firstColumn="0" w:lastColumn="0" w:noHBand="0" w:noVBand="0" w:val="0020"/>
      </w:tblPr>
      <w:tblGrid>
        <w:gridCol w:w="2410"/>
        <w:gridCol w:w="3099"/>
        <w:gridCol w:w="2410"/>
      </w:tblGrid>
      <w:tr>
        <w:trPr>
          <w:tblHeader w:val="on"/>
        </w:trPr>
        <w:tc>
          <w:tcPr/>
          <w:p>
            <w:pPr>
              <w:pStyle w:val="Compact"/>
            </w:pPr>
            <w:r>
              <w:rPr>
                <w:rFonts w:hint="eastAsia"/>
              </w:rPr>
              <w:t xml:space="preserve">里程碑</w:t>
            </w:r>
          </w:p>
        </w:tc>
        <w:tc>
          <w:tcPr/>
          <w:p>
            <w:pPr>
              <w:pStyle w:val="Compact"/>
            </w:pPr>
            <w:r>
              <w:rPr>
                <w:rFonts w:hint="eastAsia"/>
              </w:rPr>
              <w:t xml:space="preserve">时间节点</w:t>
            </w:r>
          </w:p>
        </w:tc>
        <w:tc>
          <w:tcPr/>
          <w:p>
            <w:pPr>
              <w:pStyle w:val="Compact"/>
            </w:pPr>
            <w:r>
              <w:rPr>
                <w:rFonts w:hint="eastAsia"/>
              </w:rPr>
              <w:t xml:space="preserve">交付物</w:t>
            </w:r>
          </w:p>
        </w:tc>
      </w:tr>
      <w:tr>
        <w:tc>
          <w:tcPr/>
          <w:p>
            <w:pPr>
              <w:pStyle w:val="Compact"/>
            </w:pPr>
            <w:r>
              <w:rPr>
                <w:rFonts w:hint="eastAsia"/>
              </w:rPr>
              <w:t xml:space="preserve">立项启动与计划确认</w:t>
            </w:r>
          </w:p>
        </w:tc>
        <w:tc>
          <w:tcPr/>
          <w:p>
            <w:pPr>
              <w:pStyle w:val="Compact"/>
            </w:pPr>
            <w:r>
              <w:rPr>
                <w:rFonts w:hint="eastAsia"/>
              </w:rPr>
              <w:t xml:space="preserve">T+0月</w:t>
            </w:r>
          </w:p>
        </w:tc>
        <w:tc>
          <w:tcPr/>
          <w:p>
            <w:pPr>
              <w:pStyle w:val="Compact"/>
            </w:pPr>
            <w:r>
              <w:rPr>
                <w:rFonts w:hint="eastAsia"/>
              </w:rPr>
              <w:t xml:space="preserve">项目章程、里程碑计划、沟通机制</w:t>
            </w:r>
          </w:p>
        </w:tc>
      </w:tr>
      <w:tr>
        <w:tc>
          <w:tcPr/>
          <w:p>
            <w:pPr>
              <w:pStyle w:val="Compact"/>
            </w:pPr>
            <w:r>
              <w:rPr>
                <w:rFonts w:hint="eastAsia"/>
              </w:rPr>
              <w:t xml:space="preserve">需求调研与范围确认</w:t>
            </w:r>
          </w:p>
        </w:tc>
        <w:tc>
          <w:tcPr/>
          <w:p>
            <w:pPr>
              <w:pStyle w:val="Compact"/>
            </w:pPr>
            <w:r>
              <w:rPr>
                <w:rFonts w:hint="eastAsia"/>
              </w:rPr>
              <w:t xml:space="preserve">T+0.5月</w:t>
            </w:r>
          </w:p>
        </w:tc>
        <w:tc>
          <w:tcPr/>
          <w:p>
            <w:pPr>
              <w:pStyle w:val="Compact"/>
            </w:pPr>
            <w:r>
              <w:rPr>
                <w:rFonts w:hint="eastAsia"/>
              </w:rPr>
              <w:t xml:space="preserve">需求清单、原型与验收标准、范围冻结（P0）</w:t>
            </w:r>
          </w:p>
        </w:tc>
      </w:tr>
      <w:tr>
        <w:tc>
          <w:tcPr/>
          <w:p>
            <w:pPr>
              <w:pStyle w:val="Compact"/>
            </w:pPr>
            <w:r>
              <w:rPr>
                <w:rFonts w:hint="eastAsia"/>
              </w:rPr>
              <w:t xml:space="preserve">方案设计评审</w:t>
            </w:r>
          </w:p>
        </w:tc>
        <w:tc>
          <w:tcPr/>
          <w:p>
            <w:pPr>
              <w:pStyle w:val="Compact"/>
            </w:pPr>
            <w:r>
              <w:rPr>
                <w:rFonts w:hint="eastAsia"/>
              </w:rPr>
              <w:t xml:space="preserve">T+1月</w:t>
            </w:r>
          </w:p>
        </w:tc>
        <w:tc>
          <w:tcPr/>
          <w:p>
            <w:pPr>
              <w:pStyle w:val="Compact"/>
            </w:pPr>
            <w:r>
              <w:rPr>
                <w:rFonts w:hint="eastAsia"/>
              </w:rPr>
              <w:t xml:space="preserve">组织/权限/审计/口径策略设计方案、接口规范</w:t>
            </w:r>
          </w:p>
        </w:tc>
      </w:tr>
      <w:tr>
        <w:tc>
          <w:tcPr/>
          <w:p>
            <w:pPr>
              <w:pStyle w:val="Compact"/>
            </w:pPr>
            <w:r>
              <w:rPr>
                <w:rFonts w:hint="eastAsia"/>
              </w:rPr>
              <w:t xml:space="preserve">开发与联调（迭代1）</w:t>
            </w:r>
          </w:p>
        </w:tc>
        <w:tc>
          <w:tcPr/>
          <w:p>
            <w:pPr>
              <w:pStyle w:val="Compact"/>
            </w:pPr>
            <w:r>
              <w:rPr>
                <w:rFonts w:hint="eastAsia"/>
              </w:rPr>
              <w:t xml:space="preserve">T+2月</w:t>
            </w:r>
          </w:p>
        </w:tc>
        <w:tc>
          <w:tcPr/>
          <w:p>
            <w:pPr>
              <w:pStyle w:val="Compact"/>
            </w:pPr>
            <w:r>
              <w:rPr>
                <w:rFonts w:hint="eastAsia"/>
              </w:rPr>
              <w:t xml:space="preserve">组织/员工/角色/权限策略（P0）可用版本</w:t>
            </w:r>
          </w:p>
        </w:tc>
      </w:tr>
      <w:tr>
        <w:tc>
          <w:tcPr/>
          <w:p>
            <w:pPr>
              <w:pStyle w:val="Compact"/>
            </w:pPr>
            <w:r>
              <w:rPr>
                <w:rFonts w:hint="eastAsia"/>
              </w:rPr>
              <w:t xml:space="preserve">开发与联调（迭代2）</w:t>
            </w:r>
          </w:p>
        </w:tc>
        <w:tc>
          <w:tcPr/>
          <w:p>
            <w:pPr>
              <w:pStyle w:val="Compact"/>
            </w:pPr>
            <w:r>
              <w:rPr>
                <w:rFonts w:hint="eastAsia"/>
              </w:rPr>
              <w:t xml:space="preserve">T+3月</w:t>
            </w:r>
          </w:p>
        </w:tc>
        <w:tc>
          <w:tcPr/>
          <w:p>
            <w:pPr>
              <w:pStyle w:val="Compact"/>
            </w:pPr>
            <w:r>
              <w:rPr>
                <w:rFonts w:hint="eastAsia"/>
              </w:rPr>
              <w:t xml:space="preserve">审计日志（P0）、组织调整（P1）与稳定性优化</w:t>
            </w:r>
          </w:p>
        </w:tc>
      </w:tr>
      <w:tr>
        <w:tc>
          <w:tcPr/>
          <w:p>
            <w:pPr>
              <w:pStyle w:val="Compact"/>
            </w:pPr>
            <w:r>
              <w:rPr>
                <w:rFonts w:hint="eastAsia"/>
              </w:rPr>
              <w:t xml:space="preserve">集成测试与UAT</w:t>
            </w:r>
          </w:p>
        </w:tc>
        <w:tc>
          <w:tcPr/>
          <w:p>
            <w:pPr>
              <w:pStyle w:val="Compact"/>
            </w:pPr>
            <w:r>
              <w:rPr>
                <w:rFonts w:hint="eastAsia"/>
              </w:rPr>
              <w:t xml:space="preserve">T+3.5月</w:t>
            </w:r>
          </w:p>
        </w:tc>
        <w:tc>
          <w:tcPr/>
          <w:p>
            <w:pPr>
              <w:pStyle w:val="Compact"/>
            </w:pPr>
            <w:r>
              <w:rPr>
                <w:rFonts w:hint="eastAsia"/>
              </w:rPr>
              <w:t xml:space="preserve">测试报告、UAT问题闭环、上线评审材料</w:t>
            </w:r>
          </w:p>
        </w:tc>
      </w:tr>
      <w:tr>
        <w:tc>
          <w:tcPr/>
          <w:p>
            <w:pPr>
              <w:pStyle w:val="Compact"/>
            </w:pPr>
            <w:r>
              <w:rPr>
                <w:rFonts w:hint="eastAsia"/>
              </w:rPr>
              <w:t xml:space="preserve">上线与运行保障</w:t>
            </w:r>
          </w:p>
        </w:tc>
        <w:tc>
          <w:tcPr/>
          <w:p>
            <w:pPr>
              <w:pStyle w:val="Compact"/>
            </w:pPr>
            <w:r>
              <w:rPr>
                <w:rFonts w:hint="eastAsia"/>
              </w:rPr>
              <w:t xml:space="preserve">T+4月</w:t>
            </w:r>
          </w:p>
        </w:tc>
        <w:tc>
          <w:tcPr/>
          <w:p>
            <w:pPr>
              <w:pStyle w:val="Compact"/>
            </w:pPr>
            <w:r>
              <w:rPr>
                <w:rFonts w:hint="eastAsia"/>
              </w:rPr>
              <w:t xml:space="preserve">上线包、回滚预案、培训材料、运行周报（试运行）</w:t>
            </w:r>
          </w:p>
        </w:tc>
      </w:tr>
    </w:tbl>
    <w:p>
      <w:r>
        <w:pict>
          <v:rect style="width:0;height:1.5pt" o:hralign="center" o:hrstd="t" o:hr="t"/>
        </w:pict>
      </w:r>
    </w:p>
    <w:bookmarkEnd w:id="47"/>
    <w:bookmarkEnd w:id="48"/>
    <w:bookmarkStart w:id="52" w:name="六可行性分析"/>
    <w:p>
      <w:pPr>
        <w:pStyle w:val="Heading2"/>
      </w:pPr>
      <w:r>
        <w:rPr>
          <w:rFonts w:hint="eastAsia"/>
        </w:rPr>
        <w:t xml:space="preserve">六、可行性分析</w:t>
      </w:r>
    </w:p>
    <w:bookmarkStart w:id="49" w:name="技术论证"/>
    <w:p>
      <w:pPr>
        <w:pStyle w:val="Heading3"/>
      </w:pPr>
      <w:r>
        <w:t xml:space="preserve">6.1 </w:t>
      </w:r>
      <w:r>
        <w:rPr>
          <w:rFonts w:hint="eastAsia"/>
        </w:rPr>
        <w:t xml:space="preserve">技术论证</w:t>
      </w:r>
    </w:p>
    <w:p>
      <w:pPr>
        <w:pStyle w:val="Compact"/>
        <w:numPr>
          <w:ilvl w:val="0"/>
          <w:numId w:val="1015"/>
        </w:numPr>
      </w:pPr>
      <w:r>
        <w:rPr>
          <w:rFonts w:hint="eastAsia"/>
        </w:rPr>
        <w:t xml:space="preserve">技术可行：组织与权限底座以配置管理、鉴权校验、数据范围计算与审计留痕为核心，属于成熟的企业级通用能力范畴；前端可基于现有</w:t>
      </w:r>
      <w:r>
        <w:t xml:space="preserve"> Vue 3 + TypeScript + Element Plus </w:t>
      </w:r>
      <w:r>
        <w:rPr>
          <w:rFonts w:hint="eastAsia"/>
        </w:rPr>
        <w:t xml:space="preserve">技术栈构建管理后台，具备良好的组件生态与开发效率。</w:t>
      </w:r>
    </w:p>
    <w:p>
      <w:pPr>
        <w:pStyle w:val="Compact"/>
        <w:numPr>
          <w:ilvl w:val="0"/>
          <w:numId w:val="1015"/>
        </w:numPr>
      </w:pPr>
      <w:r>
        <w:rPr>
          <w:rFonts w:hint="eastAsia"/>
        </w:rPr>
        <w:t xml:space="preserve">架构可扩展：通过将组织、权限、审计能力服务化并以标准API输出，可支撑线索、销售、库存、财务等业务域复用，降低重复建设与口径割裂风险。</w:t>
      </w:r>
    </w:p>
    <w:p>
      <w:pPr>
        <w:pStyle w:val="Compact"/>
        <w:numPr>
          <w:ilvl w:val="0"/>
          <w:numId w:val="1015"/>
        </w:numPr>
      </w:pPr>
      <w:r>
        <w:rPr>
          <w:rFonts w:hint="eastAsia"/>
        </w:rPr>
        <w:t xml:space="preserve">安全与合规可落地：基于最小权限原则与默认隔离策略，结合字段级审计留痕与导出能力，可满足“可追溯、可审计”的合规要求，并为后续SSO/外部身份源对接预留扩展空间。</w:t>
      </w:r>
    </w:p>
    <w:bookmarkEnd w:id="49"/>
    <w:bookmarkStart w:id="50" w:name="效益分析"/>
    <w:p>
      <w:pPr>
        <w:pStyle w:val="Heading3"/>
      </w:pPr>
      <w:r>
        <w:t xml:space="preserve">6.2 </w:t>
      </w:r>
      <w:r>
        <w:rPr>
          <w:rFonts w:hint="eastAsia"/>
        </w:rPr>
        <w:t xml:space="preserve">效益分析</w:t>
      </w:r>
    </w:p>
    <w:p>
      <w:pPr>
        <w:pStyle w:val="Compact"/>
        <w:numPr>
          <w:ilvl w:val="0"/>
          <w:numId w:val="1016"/>
        </w:numPr>
      </w:pPr>
      <w:r>
        <w:rPr>
          <w:rFonts w:hint="eastAsia"/>
        </w:rPr>
        <w:t xml:space="preserve">管理效益：统一组织主数据与权限口径，减少总部/区域/经销商/门店之间的权限争议，提升跨层级协同效率与管理透明度。</w:t>
      </w:r>
    </w:p>
    <w:p>
      <w:pPr>
        <w:pStyle w:val="Compact"/>
        <w:numPr>
          <w:ilvl w:val="0"/>
          <w:numId w:val="1016"/>
        </w:numPr>
      </w:pPr>
      <w:r>
        <w:rPr>
          <w:rFonts w:hint="eastAsia"/>
        </w:rPr>
        <w:t xml:space="preserve">业务效益：以底座方式支撑全链路业务闭环，保障总部经营看板与报表下钻的组织口径一致性，提升经营分析与决策效率。</w:t>
      </w:r>
    </w:p>
    <w:p>
      <w:pPr>
        <w:pStyle w:val="Compact"/>
        <w:numPr>
          <w:ilvl w:val="0"/>
          <w:numId w:val="1016"/>
        </w:numPr>
      </w:pPr>
      <w:r>
        <w:rPr>
          <w:rFonts w:hint="eastAsia"/>
        </w:rPr>
        <w:t xml:space="preserve">合规效益：关键配置与高风险权限变更全量留痕，可检索、可导出，降低越权与审计风险，支持事后追责与复盘。</w:t>
      </w:r>
    </w:p>
    <w:p>
      <w:pPr>
        <w:pStyle w:val="Compact"/>
        <w:numPr>
          <w:ilvl w:val="0"/>
          <w:numId w:val="1016"/>
        </w:numPr>
      </w:pPr>
      <w:r>
        <w:rPr>
          <w:rFonts w:hint="eastAsia"/>
        </w:rPr>
        <w:t xml:space="preserve">成本效益：角色模板与批量授权降低新增组织/人员、权限调整的配置成本；底座能力复用减少各业务域重复开发与维护成本。</w:t>
      </w:r>
    </w:p>
    <w:bookmarkEnd w:id="50"/>
    <w:bookmarkStart w:id="51" w:name="风险评估"/>
    <w:p>
      <w:pPr>
        <w:pStyle w:val="Heading3"/>
      </w:pPr>
      <w:r>
        <w:t xml:space="preserve">6.3 </w:t>
      </w:r>
      <w:r>
        <w:rPr>
          <w:rFonts w:hint="eastAsia"/>
        </w:rPr>
        <w:t xml:space="preserve">风险评估</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rPr>
                <w:rFonts w:hint="eastAsia"/>
              </w:rPr>
              <w:t xml:space="preserve">风险项</w:t>
            </w:r>
          </w:p>
        </w:tc>
        <w:tc>
          <w:tcPr/>
          <w:p>
            <w:pPr>
              <w:pStyle w:val="Compact"/>
            </w:pPr>
            <w:r>
              <w:rPr>
                <w:rFonts w:hint="eastAsia"/>
              </w:rPr>
              <w:t xml:space="preserve">风险描述</w:t>
            </w:r>
          </w:p>
        </w:tc>
        <w:tc>
          <w:tcPr/>
          <w:p>
            <w:pPr>
              <w:pStyle w:val="Compact"/>
            </w:pPr>
            <w:r>
              <w:rPr>
                <w:rFonts w:hint="eastAsia"/>
              </w:rPr>
              <w:t xml:space="preserve">影响</w:t>
            </w:r>
          </w:p>
        </w:tc>
        <w:tc>
          <w:tcPr/>
          <w:p>
            <w:pPr>
              <w:pStyle w:val="Compact"/>
            </w:pPr>
            <w:r>
              <w:rPr>
                <w:rFonts w:hint="eastAsia"/>
              </w:rPr>
              <w:t xml:space="preserve">应对措施</w:t>
            </w:r>
          </w:p>
        </w:tc>
      </w:tr>
      <w:tr>
        <w:tc>
          <w:tcPr/>
          <w:p>
            <w:pPr>
              <w:pStyle w:val="Compact"/>
            </w:pPr>
            <w:r>
              <w:rPr>
                <w:rFonts w:hint="eastAsia"/>
              </w:rPr>
              <w:t xml:space="preserve">需求口径分歧</w:t>
            </w:r>
          </w:p>
        </w:tc>
        <w:tc>
          <w:tcPr/>
          <w:p>
            <w:pPr>
              <w:pStyle w:val="Compact"/>
            </w:pPr>
            <w:r>
              <w:rPr>
                <w:rFonts w:hint="eastAsia"/>
              </w:rPr>
              <w:t xml:space="preserve">总部、区域、经销商对可见范围/下钻口径理解不一致</w:t>
            </w:r>
          </w:p>
        </w:tc>
        <w:tc>
          <w:tcPr/>
          <w:p>
            <w:pPr>
              <w:pStyle w:val="Compact"/>
            </w:pPr>
            <w:r>
              <w:rPr>
                <w:rFonts w:hint="eastAsia"/>
              </w:rPr>
              <w:t xml:space="preserve">配置策略反复、影响上线</w:t>
            </w:r>
          </w:p>
        </w:tc>
        <w:tc>
          <w:tcPr/>
          <w:p>
            <w:pPr>
              <w:pStyle w:val="Compact"/>
            </w:pPr>
            <w:r>
              <w:rPr>
                <w:rFonts w:hint="eastAsia"/>
              </w:rPr>
              <w:t xml:space="preserve">设立口径评审机制，明确默认隔离与可控放开原则；P0范围先冻结</w:t>
            </w:r>
          </w:p>
        </w:tc>
      </w:tr>
      <w:tr>
        <w:tc>
          <w:tcPr/>
          <w:p>
            <w:pPr>
              <w:pStyle w:val="Compact"/>
            </w:pPr>
            <w:r>
              <w:rPr>
                <w:rFonts w:hint="eastAsia"/>
              </w:rPr>
              <w:t xml:space="preserve">权限模型复杂</w:t>
            </w:r>
          </w:p>
        </w:tc>
        <w:tc>
          <w:tcPr/>
          <w:p>
            <w:pPr>
              <w:pStyle w:val="Compact"/>
            </w:pPr>
            <w:r>
              <w:rPr>
                <w:rFonts w:hint="eastAsia"/>
              </w:rPr>
              <w:t xml:space="preserve">菜单/操作/数据/关键业务权限组合复杂，易产生越权或误配</w:t>
            </w:r>
          </w:p>
        </w:tc>
        <w:tc>
          <w:tcPr/>
          <w:p>
            <w:pPr>
              <w:pStyle w:val="Compact"/>
            </w:pPr>
            <w:r>
              <w:rPr>
                <w:rFonts w:hint="eastAsia"/>
              </w:rPr>
              <w:t xml:space="preserve">安全与合规风险</w:t>
            </w:r>
          </w:p>
        </w:tc>
        <w:tc>
          <w:tcPr/>
          <w:p>
            <w:pPr>
              <w:pStyle w:val="Compact"/>
            </w:pPr>
            <w:r>
              <w:rPr>
                <w:rFonts w:hint="eastAsia"/>
              </w:rPr>
              <w:t xml:space="preserve">统一权限点规范与校验规则，提供冲突检测与保存校验，强化测试用例</w:t>
            </w:r>
          </w:p>
        </w:tc>
      </w:tr>
      <w:tr>
        <w:tc>
          <w:tcPr/>
          <w:p>
            <w:pPr>
              <w:pStyle w:val="Compact"/>
            </w:pPr>
            <w:r>
              <w:rPr>
                <w:rFonts w:hint="eastAsia"/>
              </w:rPr>
              <w:t xml:space="preserve">组织调整影响面大</w:t>
            </w:r>
          </w:p>
        </w:tc>
        <w:tc>
          <w:tcPr/>
          <w:p>
            <w:pPr>
              <w:pStyle w:val="Compact"/>
            </w:pPr>
            <w:r>
              <w:rPr>
                <w:rFonts w:hint="eastAsia"/>
              </w:rPr>
              <w:t xml:space="preserve">门店划转、合并导致历史数据归属与报表口径变化</w:t>
            </w:r>
          </w:p>
        </w:tc>
        <w:tc>
          <w:tcPr/>
          <w:p>
            <w:pPr>
              <w:pStyle w:val="Compact"/>
            </w:pPr>
            <w:r>
              <w:rPr>
                <w:rFonts w:hint="eastAsia"/>
              </w:rPr>
              <w:t xml:space="preserve">指标波动与信任风险</w:t>
            </w:r>
          </w:p>
        </w:tc>
        <w:tc>
          <w:tcPr/>
          <w:p>
            <w:pPr>
              <w:pStyle w:val="Compact"/>
            </w:pPr>
            <w:r>
              <w:rPr>
                <w:rFonts w:hint="eastAsia"/>
              </w:rPr>
              <w:t xml:space="preserve">强制选择口径策略并留痕；上线前完成口径宣贯与模拟校验</w:t>
            </w:r>
          </w:p>
        </w:tc>
      </w:tr>
      <w:tr>
        <w:tc>
          <w:tcPr/>
          <w:p>
            <w:pPr>
              <w:pStyle w:val="Compact"/>
            </w:pPr>
            <w:r>
              <w:rPr>
                <w:rFonts w:hint="eastAsia"/>
              </w:rPr>
              <w:t xml:space="preserve">集成落地风险</w:t>
            </w:r>
          </w:p>
        </w:tc>
        <w:tc>
          <w:tcPr/>
          <w:p>
            <w:pPr>
              <w:pStyle w:val="Compact"/>
            </w:pPr>
            <w:r>
              <w:rPr>
                <w:rFonts w:hint="eastAsia"/>
              </w:rPr>
              <w:t xml:space="preserve">各业务域接入统一鉴权与数据范围计算改造量不一致</w:t>
            </w:r>
          </w:p>
        </w:tc>
        <w:tc>
          <w:tcPr/>
          <w:p>
            <w:pPr>
              <w:pStyle w:val="Compact"/>
            </w:pPr>
            <w:r>
              <w:rPr>
                <w:rFonts w:hint="eastAsia"/>
              </w:rPr>
              <w:t xml:space="preserve">影响统一口径</w:t>
            </w:r>
          </w:p>
        </w:tc>
        <w:tc>
          <w:tcPr/>
          <w:p>
            <w:pPr>
              <w:pStyle w:val="Compact"/>
            </w:pPr>
            <w:r>
              <w:rPr>
                <w:rFonts w:hint="eastAsia"/>
              </w:rPr>
              <w:t xml:space="preserve">提供标准SDK/中间件与接入指南；分域分批接入并设立验收门槛</w:t>
            </w:r>
          </w:p>
        </w:tc>
      </w:tr>
      <w:tr>
        <w:tc>
          <w:tcPr/>
          <w:p>
            <w:pPr>
              <w:pStyle w:val="Compact"/>
            </w:pPr>
            <w:r>
              <w:rPr>
                <w:rFonts w:hint="eastAsia"/>
              </w:rPr>
              <w:t xml:space="preserve">审计数据规模</w:t>
            </w:r>
          </w:p>
        </w:tc>
        <w:tc>
          <w:tcPr/>
          <w:p>
            <w:pPr>
              <w:pStyle w:val="Compact"/>
            </w:pPr>
            <w:r>
              <w:rPr>
                <w:rFonts w:hint="eastAsia"/>
              </w:rPr>
              <w:t xml:space="preserve">审计留痕长期保留，数据量增长带来存储与查询压力</w:t>
            </w:r>
          </w:p>
        </w:tc>
        <w:tc>
          <w:tcPr/>
          <w:p>
            <w:pPr>
              <w:pStyle w:val="Compact"/>
            </w:pPr>
            <w:r>
              <w:rPr>
                <w:rFonts w:hint="eastAsia"/>
              </w:rPr>
              <w:t xml:space="preserve">性能与成本压力</w:t>
            </w:r>
          </w:p>
        </w:tc>
        <w:tc>
          <w:tcPr/>
          <w:p>
            <w:pPr>
              <w:pStyle w:val="Compact"/>
            </w:pPr>
            <w:r>
              <w:rPr>
                <w:rFonts w:hint="eastAsia"/>
              </w:rPr>
              <w:t xml:space="preserve">分区/归档策略、索引优化、冷热分离与导出异步化（按需纳入）</w:t>
            </w:r>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icrosoft YaHei" w:cs="Microsoft YaHei" w:eastAsia="Microsoft YaHei" w:hAnsi="Microsoft YaHei"/>
        <w:color w:val="000000"/>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Microsoft YaHei" w:cs="Microsoft YaHei" w:eastAsia="Microsoft YaHei" w:hAnsi="Microsoft YaHei"/>
      <w:sz w:val="56"/>
      <w:szCs w:val="56"/>
    </w:rPr>
  </w:style>
  <w:style w:customStyle="1" w:styleId="TitleChar" w:type="character">
    <w:name w:val="Title Char"/>
    <w:basedOn w:val="DefaultParagraphFont"/>
    <w:link w:val="Title"/>
    <w:uiPriority w:val="10"/>
    <w:rsid w:val="00A10FD9"/>
    <w:rPr>
      <w:rFonts w:ascii="Microsoft YaHei" w:cs="Microsoft YaHei" w:eastAsia="Microsoft YaHei" w:hAnsi="Microsoft YaHei"/>
      <w:sz w:val="56"/>
      <w:szCs w:val="56"/>
    </w:rPr>
  </w:style>
  <w:style w:styleId="Subtitle" w:type="paragraph">
    <w:name w:val="Subtitle"/>
    <w:basedOn w:val="Title"/>
    <w:next w:val="BodyText"/>
    <w:link w:val="SubtitleChar"/>
    <w:uiPriority w:val="11"/>
    <w:qFormat/>
    <w:rsid w:val="00A10FD9"/>
    <w:pPr>
      <w:numPr>
        <w:ilvl w:val="1"/>
      </w:numPr>
    </w:pPr>
    <w:rPr>
      <w:rFonts w:ascii="Microsoft YaHei" w:cs="Microsoft YaHei" w:eastAsia="Microsoft YaHei" w:hAnsi="Microsoft YaHei"/>
      <w:spacing w:val="15"/>
      <w:sz w:val="28"/>
      <w:szCs w:val="28"/>
    </w:rPr>
  </w:style>
  <w:style w:customStyle="1" w:styleId="SubtitleChar" w:type="character">
    <w:name w:val="Subtitle Char"/>
    <w:basedOn w:val="DefaultParagraphFont"/>
    <w:link w:val="Subtitle"/>
    <w:uiPriority w:val="11"/>
    <w:rsid w:val="00A10FD9"/>
    <w:rPr>
      <w:rFonts w:ascii="Microsoft YaHei" w:cs="Microsoft YaHei" w:eastAsia="Microsoft YaHei" w:hAnsi="Microsoft YaHei"/>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Microsoft YaHei" w:cs="Microsoft YaHei" w:eastAsia="Microsoft YaHei" w:hAnsi="Microsoft YaHe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Microsoft YaHei" w:cs="Microsoft YaHei" w:eastAsia="Microsoft YaHei" w:hAnsi="Microsoft YaHe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Microsoft YaHei" w:cs="Microsoft YaHei" w:eastAsia="Microsoft YaHei" w:hAnsi="Microsoft YaHei"/>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Microsoft YaHei" w:cs="Microsoft YaHei" w:eastAsia="Microsoft YaHei" w:hAnsi="Microsoft YaHe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Microsoft YaHei" w:cs="Microsoft YaHei" w:eastAsia="Microsoft YaHei" w:hAnsi="Microsoft YaHe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Microsoft YaHei" w:cs="Microsoft YaHei" w:eastAsia="Microsoft YaHei" w:hAnsi="Microsoft YaHe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Microsoft YaHei" w:cs="Microsoft YaHei" w:eastAsia="Microsoft YaHei" w:hAnsi="Microsoft YaHe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Microsoft YaHei" w:cs="Microsoft YaHei" w:eastAsia="Microsoft YaHei" w:hAnsi="Microsoft YaHe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Microsoft YaHei" w:cs="Microsoft YaHei" w:eastAsia="Microsoft YaHei" w:hAnsi="Microsoft YaHei"/>
      <w:color w:val="000000"/>
    </w:rPr>
  </w:style>
  <w:style w:customStyle="1" w:styleId="Heading1Char" w:type="character">
    <w:name w:val="Heading 1 Char"/>
    <w:basedOn w:val="DefaultParagraphFont"/>
    <w:link w:val="Heading1"/>
    <w:uiPriority w:val="9"/>
    <w:rsid w:val="00A10FD9"/>
    <w:rPr>
      <w:rFonts w:ascii="Microsoft YaHei" w:cs="Microsoft YaHei" w:eastAsia="Microsoft YaHei" w:hAnsi="Microsoft YaHei"/>
      <w:color w:val="000000"/>
      <w:sz w:val="40"/>
      <w:szCs w:val="40"/>
    </w:rPr>
  </w:style>
  <w:style w:customStyle="1" w:styleId="Heading2Char" w:type="character">
    <w:name w:val="Heading 2 Char"/>
    <w:basedOn w:val="DefaultParagraphFont"/>
    <w:link w:val="Heading2"/>
    <w:uiPriority w:val="9"/>
    <w:semiHidden/>
    <w:rsid w:val="00A10FD9"/>
    <w:rPr>
      <w:rFonts w:ascii="Microsoft YaHei" w:cs="Microsoft YaHei" w:eastAsia="Microsoft YaHei" w:hAnsi="Microsoft YaHei"/>
      <w:color w:val="000000"/>
      <w:sz w:val="32"/>
      <w:szCs w:val="32"/>
    </w:rPr>
  </w:style>
  <w:style w:customStyle="1" w:styleId="Heading3Char" w:type="character">
    <w:name w:val="Heading 3 Char"/>
    <w:basedOn w:val="DefaultParagraphFont"/>
    <w:link w:val="Heading3"/>
    <w:uiPriority w:val="9"/>
    <w:semiHidden/>
    <w:rsid w:val="00A10FD9"/>
    <w:rPr>
      <w:rFonts w:ascii="Microsoft YaHei" w:cs="Microsoft YaHei" w:eastAsia="Microsoft YaHei" w:hAnsi="Microsoft YaHei"/>
      <w:color w:val="000000"/>
      <w:sz w:val="28"/>
      <w:szCs w:val="28"/>
    </w:rPr>
  </w:style>
  <w:style w:customStyle="1" w:styleId="Heading4Char" w:type="character">
    <w:name w:val="Heading 4 Char"/>
    <w:basedOn w:val="DefaultParagraphFont"/>
    <w:link w:val="Heading4"/>
    <w:uiPriority w:val="9"/>
    <w:semiHidden/>
    <w:rsid w:val="00A10FD9"/>
    <w:rPr>
      <w:rFonts w:ascii="Microsoft YaHei" w:cs="Microsoft YaHei" w:eastAsia="Microsoft YaHei" w:hAnsi="Microsoft YaHei"/>
      <w:i/>
      <w:iCs/>
      <w:color w:val="000000"/>
    </w:rPr>
  </w:style>
  <w:style w:customStyle="1" w:styleId="Heading5Char" w:type="character">
    <w:name w:val="Heading 5 Char"/>
    <w:basedOn w:val="DefaultParagraphFont"/>
    <w:link w:val="Heading5"/>
    <w:uiPriority w:val="9"/>
    <w:semiHidden/>
    <w:rsid w:val="00A10FD9"/>
    <w:rPr>
      <w:rFonts w:ascii="Microsoft YaHei" w:cs="Microsoft YaHei" w:eastAsia="Microsoft YaHei" w:hAnsi="Microsoft YaHei"/>
      <w:color w:val="000000"/>
    </w:rPr>
  </w:style>
  <w:style w:customStyle="1" w:styleId="Heading6Char" w:type="character">
    <w:name w:val="Heading 6 Char"/>
    <w:basedOn w:val="DefaultParagraphFont"/>
    <w:link w:val="Heading6"/>
    <w:uiPriority w:val="9"/>
    <w:semiHidden/>
    <w:rsid w:val="00A10FD9"/>
    <w:rPr>
      <w:rFonts w:ascii="Microsoft YaHei" w:cs="Microsoft YaHei" w:eastAsia="Microsoft YaHei" w:hAnsi="Microsoft YaHei"/>
      <w:i/>
      <w:iCs/>
      <w:color w:val="000000"/>
    </w:rPr>
  </w:style>
  <w:style w:customStyle="1" w:styleId="Heading7Char" w:type="character">
    <w:name w:val="Heading 7 Char"/>
    <w:basedOn w:val="DefaultParagraphFont"/>
    <w:link w:val="Heading7"/>
    <w:uiPriority w:val="9"/>
    <w:semiHidden/>
    <w:rsid w:val="00A10FD9"/>
    <w:rPr>
      <w:rFonts w:ascii="Microsoft YaHei" w:cs="Microsoft YaHei" w:eastAsia="Microsoft YaHei" w:hAnsi="Microsoft YaHei"/>
      <w:color w:val="000000"/>
    </w:rPr>
  </w:style>
  <w:style w:customStyle="1" w:styleId="Heading8Char" w:type="character">
    <w:name w:val="Heading 8 Char"/>
    <w:basedOn w:val="DefaultParagraphFont"/>
    <w:link w:val="Heading8"/>
    <w:uiPriority w:val="9"/>
    <w:semiHidden/>
    <w:rsid w:val="00A10FD9"/>
    <w:rPr>
      <w:rFonts w:ascii="Microsoft YaHei" w:cs="Microsoft YaHei" w:eastAsia="Microsoft YaHei" w:hAnsi="Microsoft YaHei"/>
      <w:i/>
      <w:iCs/>
      <w:color w:val="000000"/>
    </w:rPr>
  </w:style>
  <w:style w:customStyle="1" w:styleId="Heading9Char" w:type="character">
    <w:name w:val="Heading 9 Char"/>
    <w:basedOn w:val="DefaultParagraphFont"/>
    <w:link w:val="Heading9"/>
    <w:uiPriority w:val="9"/>
    <w:semiHidden/>
    <w:rsid w:val="00A10FD9"/>
    <w:rPr>
      <w:rFonts w:ascii="Microsoft YaHei" w:cs="Microsoft YaHei" w:eastAsia="Microsoft YaHei" w:hAnsi="Microsoft YaHei"/>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tcPr>
        <w:tcBorders>
          <w:bottom w:val="single"/>
        </w:tcBorders>
        <w:vAlign w:val="bottom"/>
        <w:shd w:color="auto" w:fill="0070C0" w:val="clear"/>
      </w:tcPr>
      <w:rPr>
        <w:rFonts w:ascii="Microsoft YaHei" w:cs="Microsoft YaHei" w:eastAsia="Microsoft YaHei" w:hAnsi="Microsoft YaHei"/>
        <w:b/>
        <w:bCs/>
        <w:color w:val="FFFFFF"/>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icrosoft YaHei" w:cs="Microsoft YaHei" w:eastAsia="Microsoft YaHei" w:hAnsi="Microsoft YaHe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Microsoft YaHei" w:cs="Microsoft YaHei" w:eastAsia="Microsoft YaHei" w:hAnsi="Microsoft YaHe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可行性研究报告</dc:title>
  <dc:creator>主机厂</dc:creator>
  <dc:language>zh-CN</dc:language>
  <cp:keywords/>
  <dcterms:created xsi:type="dcterms:W3CDTF">2026-05-10T07:03:32Z</dcterms:created>
  <dcterms:modified xsi:type="dcterms:W3CDTF">2026-05-10T07:03:32Z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编制单位：主机厂 二零二六年五月</vt:lpwstr>
  </property>
  <property fmtid="{D5CDD505-2E9C-101B-9397-08002B2CF9AE}" pid="3" name="geometry">
    <vt:lpwstr>left=3.17cm,right=3.17cm,top=2.54cm,bottom=2.54cm</vt:lpwstr>
  </property>
  <property fmtid="{D5CDD505-2E9C-101B-9397-08002B2CF9AE}" pid="4" name="numbersections">
    <vt:lpwstr>False</vt:lpwstr>
  </property>
  <property fmtid="{D5CDD505-2E9C-101B-9397-08002B2CF9AE}" pid="5" name="subtitle">
    <vt:lpwstr>车企销售运营平台-组织与权限底座</vt:lpwstr>
  </property>
  <property fmtid="{D5CDD505-2E9C-101B-9397-08002B2CF9AE}" pid="6" name="toc">
    <vt:lpwstr>True</vt:lpwstr>
  </property>
  <property fmtid="{D5CDD505-2E9C-101B-9397-08002B2CF9AE}" pid="7" name="toc-depth">
    <vt:lpwstr>3</vt:lpwstr>
  </property>
</Properties>
</file>