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44C6" w:rsidRDefault="0008459A">
      <w:pPr>
        <w:pStyle w:val="BodyText"/>
        <w:rPr>
          <w:sz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30pt;margin-top:-2.1pt;width:63.75pt;height:63pt;z-index:487484416;mso-position-horizontal-relative:text;mso-position-vertical-relative:text;mso-width-relative:page;mso-height-relative:page">
            <v:imagedata r:id="rId8" o:title="ncee_logo"/>
          </v:shape>
        </w:pict>
      </w:r>
      <w:r>
        <w:rPr>
          <w:noProof/>
          <w:sz w:val="20"/>
        </w:rPr>
        <w:pict>
          <v:shapetype id="_x0000_t202" coordsize="21600,21600" o:spt="202" path="m,l,21600r21600,l21600,xe">
            <v:stroke joinstyle="miter"/>
            <v:path gradientshapeok="t" o:connecttype="rect"/>
          </v:shapetype>
          <v:shape id="_x0000_s1028" type="#_x0000_t202" style="position:absolute;margin-left:-50pt;margin-top:-2.1pt;width:564.75pt;height:69.8pt;z-index:-15834112;mso-position-horizontal-relative:text;mso-position-vertical-relative:text" filled="f" stroked="f">
            <v:textbox style="mso-next-textbox:#_x0000_s1028" inset="0,0,0,0">
              <w:txbxContent>
                <w:p w:rsidR="000744C6" w:rsidRDefault="00853166" w:rsidP="007913E7">
                  <w:pPr>
                    <w:spacing w:before="40" w:line="368" w:lineRule="exact"/>
                    <w:ind w:left="1980" w:right="1537"/>
                    <w:jc w:val="center"/>
                    <w:rPr>
                      <w:b/>
                      <w:sz w:val="32"/>
                    </w:rPr>
                  </w:pPr>
                  <w:r>
                    <w:rPr>
                      <w:b/>
                      <w:sz w:val="32"/>
                    </w:rPr>
                    <w:t>3</w:t>
                  </w:r>
                  <w:r w:rsidRPr="00853166">
                    <w:rPr>
                      <w:b/>
                      <w:sz w:val="32"/>
                      <w:vertAlign w:val="superscript"/>
                    </w:rPr>
                    <w:t>rd</w:t>
                  </w:r>
                  <w:r w:rsidR="007913E7">
                    <w:rPr>
                      <w:b/>
                      <w:spacing w:val="-3"/>
                      <w:sz w:val="32"/>
                    </w:rPr>
                    <w:t xml:space="preserve"> </w:t>
                  </w:r>
                  <w:r w:rsidR="007913E7">
                    <w:rPr>
                      <w:b/>
                      <w:sz w:val="32"/>
                    </w:rPr>
                    <w:t>NATIONAL</w:t>
                  </w:r>
                  <w:r w:rsidR="007913E7">
                    <w:rPr>
                      <w:b/>
                      <w:spacing w:val="-1"/>
                      <w:sz w:val="32"/>
                    </w:rPr>
                    <w:t xml:space="preserve"> </w:t>
                  </w:r>
                  <w:r w:rsidR="007913E7">
                    <w:rPr>
                      <w:b/>
                      <w:sz w:val="32"/>
                    </w:rPr>
                    <w:t>CONFERENCE</w:t>
                  </w:r>
                </w:p>
                <w:p w:rsidR="000744C6" w:rsidRDefault="007913E7" w:rsidP="007913E7">
                  <w:pPr>
                    <w:spacing w:line="368" w:lineRule="exact"/>
                    <w:ind w:left="1980" w:right="1540"/>
                    <w:jc w:val="center"/>
                    <w:rPr>
                      <w:b/>
                      <w:sz w:val="32"/>
                    </w:rPr>
                  </w:pPr>
                  <w:r>
                    <w:rPr>
                      <w:b/>
                      <w:sz w:val="32"/>
                    </w:rPr>
                    <w:t>ON</w:t>
                  </w:r>
                  <w:r>
                    <w:rPr>
                      <w:b/>
                      <w:spacing w:val="-3"/>
                      <w:sz w:val="32"/>
                    </w:rPr>
                    <w:t xml:space="preserve"> </w:t>
                  </w:r>
                  <w:r>
                    <w:rPr>
                      <w:b/>
                      <w:sz w:val="32"/>
                    </w:rPr>
                    <w:t>EARTHQUAKE</w:t>
                  </w:r>
                  <w:r>
                    <w:rPr>
                      <w:b/>
                      <w:spacing w:val="-3"/>
                      <w:sz w:val="32"/>
                    </w:rPr>
                    <w:t xml:space="preserve"> </w:t>
                  </w:r>
                  <w:r>
                    <w:rPr>
                      <w:b/>
                      <w:sz w:val="32"/>
                    </w:rPr>
                    <w:t>ENGINEERING -</w:t>
                  </w:r>
                  <w:r>
                    <w:rPr>
                      <w:b/>
                      <w:spacing w:val="-4"/>
                      <w:sz w:val="32"/>
                    </w:rPr>
                    <w:t xml:space="preserve"> </w:t>
                  </w:r>
                  <w:r>
                    <w:rPr>
                      <w:b/>
                      <w:sz w:val="32"/>
                    </w:rPr>
                    <w:t>NEPAL</w:t>
                  </w:r>
                </w:p>
                <w:p w:rsidR="000744C6" w:rsidRDefault="001553B4" w:rsidP="007913E7">
                  <w:pPr>
                    <w:spacing w:before="241"/>
                    <w:ind w:left="1980" w:right="1538"/>
                    <w:jc w:val="center"/>
                    <w:rPr>
                      <w:b/>
                      <w:sz w:val="28"/>
                    </w:rPr>
                  </w:pPr>
                  <w:r>
                    <w:rPr>
                      <w:b/>
                      <w:sz w:val="28"/>
                    </w:rPr>
                    <w:t>6</w:t>
                  </w:r>
                  <w:r>
                    <w:rPr>
                      <w:b/>
                      <w:sz w:val="28"/>
                      <w:vertAlign w:val="superscript"/>
                    </w:rPr>
                    <w:t>th</w:t>
                  </w:r>
                  <w:r w:rsidR="007913E7">
                    <w:rPr>
                      <w:b/>
                      <w:spacing w:val="-5"/>
                      <w:sz w:val="28"/>
                    </w:rPr>
                    <w:t xml:space="preserve"> </w:t>
                  </w:r>
                  <w:r w:rsidR="007913E7">
                    <w:rPr>
                      <w:b/>
                      <w:sz w:val="28"/>
                    </w:rPr>
                    <w:t>MAGH</w:t>
                  </w:r>
                  <w:r w:rsidR="007913E7">
                    <w:rPr>
                      <w:b/>
                      <w:spacing w:val="-2"/>
                      <w:sz w:val="28"/>
                    </w:rPr>
                    <w:t xml:space="preserve"> </w:t>
                  </w:r>
                  <w:r w:rsidR="00853166">
                    <w:rPr>
                      <w:b/>
                      <w:sz w:val="28"/>
                    </w:rPr>
                    <w:t>2079</w:t>
                  </w:r>
                  <w:r w:rsidR="007913E7">
                    <w:rPr>
                      <w:b/>
                      <w:sz w:val="28"/>
                    </w:rPr>
                    <w:t>,</w:t>
                  </w:r>
                  <w:r w:rsidR="007913E7">
                    <w:rPr>
                      <w:b/>
                      <w:spacing w:val="-3"/>
                      <w:sz w:val="28"/>
                    </w:rPr>
                    <w:t xml:space="preserve"> </w:t>
                  </w:r>
                  <w:r w:rsidR="007913E7">
                    <w:rPr>
                      <w:b/>
                      <w:sz w:val="28"/>
                    </w:rPr>
                    <w:t>BHAKTAPUR,</w:t>
                  </w:r>
                  <w:r w:rsidR="007913E7">
                    <w:rPr>
                      <w:b/>
                      <w:spacing w:val="-2"/>
                      <w:sz w:val="28"/>
                    </w:rPr>
                    <w:t xml:space="preserve"> </w:t>
                  </w:r>
                  <w:r w:rsidR="007913E7">
                    <w:rPr>
                      <w:b/>
                      <w:sz w:val="28"/>
                    </w:rPr>
                    <w:t>NEPAL</w:t>
                  </w:r>
                </w:p>
                <w:p w:rsidR="00344B34" w:rsidRDefault="00344B34"/>
              </w:txbxContent>
            </v:textbox>
          </v:shape>
        </w:pict>
      </w:r>
    </w:p>
    <w:p w:rsidR="000744C6" w:rsidRDefault="000744C6">
      <w:pPr>
        <w:pStyle w:val="BodyText"/>
        <w:rPr>
          <w:sz w:val="20"/>
        </w:rPr>
      </w:pPr>
    </w:p>
    <w:p w:rsidR="000744C6" w:rsidRDefault="000744C6">
      <w:pPr>
        <w:pStyle w:val="BodyText"/>
        <w:rPr>
          <w:sz w:val="20"/>
        </w:rPr>
      </w:pPr>
    </w:p>
    <w:p w:rsidR="000744C6" w:rsidRDefault="000744C6">
      <w:pPr>
        <w:pStyle w:val="BodyText"/>
        <w:rPr>
          <w:sz w:val="20"/>
        </w:rPr>
      </w:pPr>
    </w:p>
    <w:p w:rsidR="000744C6" w:rsidRDefault="000744C6">
      <w:pPr>
        <w:pStyle w:val="BodyText"/>
        <w:rPr>
          <w:sz w:val="20"/>
        </w:rPr>
      </w:pPr>
    </w:p>
    <w:p w:rsidR="000744C6" w:rsidRDefault="0008459A">
      <w:pPr>
        <w:pStyle w:val="BodyText"/>
        <w:rPr>
          <w:sz w:val="20"/>
        </w:rPr>
      </w:pPr>
      <w:r>
        <w:rPr>
          <w:noProof/>
          <w:sz w:val="20"/>
        </w:rPr>
        <w:pict>
          <v:shape id="_x0000_s1029" style="position:absolute;margin-left:-50pt;margin-top:10.2pt;width:564.75pt;height:2.2pt;z-index:-15835136" coordorigin="300,1574" coordsize="11295,44" path="m11594,1574r-9690,l1875,1574r-15,l300,1574r,44l1860,1618r15,l1904,1618r9690,l11594,1574xe" fillcolor="black" stroked="f">
            <v:path arrowok="t"/>
          </v:shape>
        </w:pict>
      </w:r>
    </w:p>
    <w:p w:rsidR="000744C6" w:rsidRDefault="00286E21" w:rsidP="00286E21">
      <w:pPr>
        <w:pStyle w:val="Title"/>
        <w:spacing w:before="246"/>
        <w:ind w:right="437"/>
      </w:pPr>
      <w:r>
        <w:t>Effect of Soil-Structure Interaction on Performance of Sliding Low-Cost Base Isolators</w:t>
      </w:r>
    </w:p>
    <w:p w:rsidR="000744C6" w:rsidRDefault="00286E21">
      <w:pPr>
        <w:spacing w:before="271"/>
        <w:ind w:left="440" w:right="437"/>
        <w:jc w:val="center"/>
        <w:rPr>
          <w:sz w:val="24"/>
        </w:rPr>
      </w:pPr>
      <w:r>
        <w:rPr>
          <w:spacing w:val="-1"/>
          <w:sz w:val="24"/>
          <w:u w:val="single"/>
        </w:rPr>
        <w:t>N</w:t>
      </w:r>
      <w:r w:rsidRPr="00286E21">
        <w:rPr>
          <w:spacing w:val="-1"/>
          <w:sz w:val="24"/>
          <w:u w:val="single"/>
        </w:rPr>
        <w:t>abin Kalauni</w:t>
      </w:r>
      <w:r w:rsidR="007913E7">
        <w:rPr>
          <w:spacing w:val="-1"/>
          <w:sz w:val="24"/>
          <w:vertAlign w:val="superscript"/>
        </w:rPr>
        <w:t>1</w:t>
      </w:r>
      <w:r w:rsidR="007913E7">
        <w:rPr>
          <w:sz w:val="24"/>
        </w:rPr>
        <w:t>,</w:t>
      </w:r>
      <w:r w:rsidR="007913E7">
        <w:rPr>
          <w:spacing w:val="3"/>
          <w:sz w:val="24"/>
        </w:rPr>
        <w:t xml:space="preserve"> </w:t>
      </w:r>
      <w:r>
        <w:rPr>
          <w:spacing w:val="3"/>
          <w:sz w:val="24"/>
        </w:rPr>
        <w:t>Dipesh Banjade</w:t>
      </w:r>
      <w:r w:rsidR="007913E7">
        <w:rPr>
          <w:sz w:val="24"/>
          <w:vertAlign w:val="superscript"/>
        </w:rPr>
        <w:t>2</w:t>
      </w:r>
      <w:r w:rsidR="007913E7">
        <w:rPr>
          <w:sz w:val="24"/>
        </w:rPr>
        <w:t>,</w:t>
      </w:r>
      <w:r w:rsidR="007913E7">
        <w:rPr>
          <w:spacing w:val="-19"/>
          <w:sz w:val="24"/>
        </w:rPr>
        <w:t xml:space="preserve"> </w:t>
      </w:r>
      <w:r w:rsidR="007913E7">
        <w:rPr>
          <w:sz w:val="24"/>
        </w:rPr>
        <w:t xml:space="preserve">and </w:t>
      </w:r>
      <w:r w:rsidR="005C0020">
        <w:rPr>
          <w:sz w:val="24"/>
        </w:rPr>
        <w:t xml:space="preserve">Dr. </w:t>
      </w:r>
      <w:r>
        <w:rPr>
          <w:sz w:val="24"/>
        </w:rPr>
        <w:t>Kshitij C. Shrestha</w:t>
      </w:r>
      <w:r w:rsidR="007913E7">
        <w:rPr>
          <w:sz w:val="24"/>
          <w:vertAlign w:val="superscript"/>
        </w:rPr>
        <w:t>3</w:t>
      </w:r>
    </w:p>
    <w:p w:rsidR="000744C6" w:rsidRDefault="00286E21" w:rsidP="00286E21">
      <w:pPr>
        <w:pStyle w:val="BodyText"/>
        <w:jc w:val="center"/>
        <w:rPr>
          <w:sz w:val="20"/>
        </w:rPr>
      </w:pPr>
      <w:r>
        <w:rPr>
          <w:sz w:val="20"/>
          <w:vertAlign w:val="superscript"/>
        </w:rPr>
        <w:t>1</w:t>
      </w:r>
      <w:r>
        <w:rPr>
          <w:sz w:val="20"/>
        </w:rPr>
        <w:t xml:space="preserve">Pulchowk Campus, </w:t>
      </w:r>
      <w:hyperlink r:id="rId9" w:history="1">
        <w:r w:rsidRPr="007A42EC">
          <w:rPr>
            <w:rStyle w:val="Hyperlink"/>
            <w:sz w:val="20"/>
          </w:rPr>
          <w:t>075bce083.nabin@pcampus.edu.np</w:t>
        </w:r>
      </w:hyperlink>
    </w:p>
    <w:p w:rsidR="00286E21" w:rsidRDefault="00286E21" w:rsidP="00286E21">
      <w:pPr>
        <w:pStyle w:val="BodyText"/>
        <w:jc w:val="center"/>
        <w:rPr>
          <w:sz w:val="20"/>
        </w:rPr>
      </w:pPr>
      <w:r>
        <w:rPr>
          <w:sz w:val="20"/>
          <w:vertAlign w:val="superscript"/>
        </w:rPr>
        <w:t>2</w:t>
      </w:r>
      <w:r>
        <w:rPr>
          <w:sz w:val="20"/>
        </w:rPr>
        <w:t xml:space="preserve">Pulchowk Campus, </w:t>
      </w:r>
      <w:hyperlink r:id="rId10" w:history="1">
        <w:r w:rsidRPr="007A42EC">
          <w:rPr>
            <w:rStyle w:val="Hyperlink"/>
            <w:sz w:val="20"/>
          </w:rPr>
          <w:t>075bce053.dipesh@pcampus.edu.np</w:t>
        </w:r>
      </w:hyperlink>
    </w:p>
    <w:p w:rsidR="00286E21" w:rsidRDefault="00286E21" w:rsidP="00286E21">
      <w:pPr>
        <w:pStyle w:val="BodyText"/>
        <w:jc w:val="center"/>
        <w:rPr>
          <w:sz w:val="20"/>
        </w:rPr>
      </w:pPr>
      <w:r>
        <w:rPr>
          <w:sz w:val="20"/>
          <w:vertAlign w:val="superscript"/>
        </w:rPr>
        <w:t>3</w:t>
      </w:r>
      <w:r>
        <w:rPr>
          <w:sz w:val="20"/>
        </w:rPr>
        <w:t xml:space="preserve">Pulchowk Campus, </w:t>
      </w:r>
      <w:hyperlink r:id="rId11" w:history="1">
        <w:r w:rsidRPr="007A42EC">
          <w:rPr>
            <w:rStyle w:val="Hyperlink"/>
            <w:sz w:val="20"/>
          </w:rPr>
          <w:t>kshitij.shrestha@pcampus.edu.np</w:t>
        </w:r>
      </w:hyperlink>
    </w:p>
    <w:p w:rsidR="00286E21" w:rsidRDefault="00286E21" w:rsidP="00286E21">
      <w:pPr>
        <w:pStyle w:val="BodyText"/>
        <w:jc w:val="center"/>
        <w:rPr>
          <w:sz w:val="20"/>
        </w:rPr>
      </w:pPr>
    </w:p>
    <w:p w:rsidR="000744C6" w:rsidRPr="00286E21" w:rsidRDefault="007913E7" w:rsidP="00286E21">
      <w:pPr>
        <w:ind w:left="118"/>
        <w:rPr>
          <w:i/>
          <w:sz w:val="20"/>
          <w:szCs w:val="20"/>
        </w:rPr>
        <w:sectPr w:rsidR="000744C6" w:rsidRPr="00286E21">
          <w:type w:val="continuous"/>
          <w:pgSz w:w="11910" w:h="16850"/>
          <w:pgMar w:top="220" w:right="1300" w:bottom="280" w:left="1300" w:header="720" w:footer="720" w:gutter="0"/>
          <w:cols w:space="720"/>
        </w:sectPr>
      </w:pPr>
      <w:r>
        <w:rPr>
          <w:b/>
        </w:rPr>
        <w:t>Keywords:</w:t>
      </w:r>
      <w:r>
        <w:rPr>
          <w:b/>
          <w:spacing w:val="47"/>
        </w:rPr>
        <w:t xml:space="preserve"> </w:t>
      </w:r>
      <w:r w:rsidR="006D3811">
        <w:rPr>
          <w:i/>
          <w:sz w:val="20"/>
          <w:szCs w:val="20"/>
        </w:rPr>
        <w:t>Sliding b</w:t>
      </w:r>
      <w:r w:rsidR="00286E21" w:rsidRPr="00286E21">
        <w:rPr>
          <w:i/>
          <w:sz w:val="20"/>
          <w:szCs w:val="20"/>
        </w:rPr>
        <w:t>ase isolation; Pure-</w:t>
      </w:r>
      <w:r w:rsidR="006D3811" w:rsidRPr="00286E21">
        <w:rPr>
          <w:i/>
          <w:sz w:val="20"/>
          <w:szCs w:val="20"/>
        </w:rPr>
        <w:t>friction (</w:t>
      </w:r>
      <w:r w:rsidR="00286E21" w:rsidRPr="00286E21">
        <w:rPr>
          <w:i/>
          <w:sz w:val="20"/>
          <w:szCs w:val="20"/>
        </w:rPr>
        <w:t xml:space="preserve">PF); Soil-structure </w:t>
      </w:r>
      <w:r w:rsidR="006D3811" w:rsidRPr="00286E21">
        <w:rPr>
          <w:i/>
          <w:sz w:val="20"/>
          <w:szCs w:val="20"/>
        </w:rPr>
        <w:t>interaction (</w:t>
      </w:r>
      <w:r w:rsidR="00286E21" w:rsidRPr="00286E21">
        <w:rPr>
          <w:i/>
          <w:sz w:val="20"/>
          <w:szCs w:val="20"/>
        </w:rPr>
        <w:t>SSI); Inter</w:t>
      </w:r>
      <w:r w:rsidR="00286E21">
        <w:rPr>
          <w:i/>
          <w:sz w:val="20"/>
          <w:szCs w:val="20"/>
        </w:rPr>
        <w:t>-</w:t>
      </w:r>
      <w:r w:rsidR="00286E21" w:rsidRPr="00286E21">
        <w:rPr>
          <w:i/>
          <w:sz w:val="20"/>
          <w:szCs w:val="20"/>
        </w:rPr>
        <w:t xml:space="preserve">story Drift </w:t>
      </w:r>
      <w:r w:rsidR="006D3811" w:rsidRPr="00286E21">
        <w:rPr>
          <w:i/>
          <w:sz w:val="20"/>
          <w:szCs w:val="20"/>
        </w:rPr>
        <w:t>Ratio (</w:t>
      </w:r>
      <w:r w:rsidR="00286E21" w:rsidRPr="00286E21">
        <w:rPr>
          <w:i/>
          <w:sz w:val="20"/>
          <w:szCs w:val="20"/>
        </w:rPr>
        <w:t xml:space="preserve">IDR); Peak Sliding </w:t>
      </w:r>
      <w:r w:rsidR="006D3811" w:rsidRPr="00286E21">
        <w:rPr>
          <w:i/>
          <w:sz w:val="20"/>
          <w:szCs w:val="20"/>
        </w:rPr>
        <w:t>Displacement (</w:t>
      </w:r>
      <w:r w:rsidR="00286E21" w:rsidRPr="00286E21">
        <w:rPr>
          <w:i/>
          <w:sz w:val="20"/>
          <w:szCs w:val="20"/>
        </w:rPr>
        <w:t>PSD)</w:t>
      </w:r>
    </w:p>
    <w:p w:rsidR="000744C6" w:rsidRDefault="0008459A">
      <w:pPr>
        <w:pStyle w:val="BodyText"/>
        <w:spacing w:before="5"/>
        <w:rPr>
          <w:i/>
          <w:sz w:val="44"/>
        </w:rPr>
      </w:pPr>
      <w:r>
        <w:pict>
          <v:line id="_x0000_s1026" style="position:absolute;z-index:-15837184;mso-position-horizontal-relative:page;mso-position-vertical-relative:page" from="63.8pt,229.2pt" to="549.05pt,229.2pt">
            <w10:wrap anchorx="page" anchory="page"/>
          </v:line>
        </w:pict>
      </w:r>
    </w:p>
    <w:p w:rsidR="000744C6" w:rsidRDefault="007913E7">
      <w:pPr>
        <w:pStyle w:val="Heading1"/>
        <w:numPr>
          <w:ilvl w:val="0"/>
          <w:numId w:val="1"/>
        </w:numPr>
        <w:tabs>
          <w:tab w:val="left" w:pos="545"/>
          <w:tab w:val="left" w:pos="547"/>
        </w:tabs>
        <w:ind w:hanging="429"/>
      </w:pPr>
      <w:r>
        <w:t>Introduction</w:t>
      </w:r>
    </w:p>
    <w:p w:rsidR="000744C6" w:rsidRDefault="006D3811">
      <w:pPr>
        <w:pStyle w:val="BodyText"/>
        <w:spacing w:before="119"/>
        <w:ind w:left="118" w:right="38"/>
        <w:jc w:val="both"/>
      </w:pPr>
      <w:r>
        <w:t xml:space="preserve">Base isolation has </w:t>
      </w:r>
      <w:r w:rsidR="000D4B1D">
        <w:t>developed</w:t>
      </w:r>
      <w:r>
        <w:t xml:space="preserve"> as a</w:t>
      </w:r>
      <w:r w:rsidR="007F1CDE">
        <w:t xml:space="preserve">n effective solution to minimize structural damage under severe seismic excitations. Elastomeric isolators, in particular, have been studied extensively in the past. </w:t>
      </w:r>
      <w:r w:rsidR="000D4B1D">
        <w:t>However, their high cost and bulkiness make them unsuitable for rural masonry buildings</w:t>
      </w:r>
      <w:r w:rsidR="00F329AC">
        <w:t xml:space="preserve"> </w:t>
      </w:r>
      <w:r w:rsidR="00F329AC">
        <w:fldChar w:fldCharType="begin"/>
      </w:r>
      <w:r w:rsidR="00F329AC">
        <w:instrText xml:space="preserve"> ADDIN ZOTERO_ITEM CSL_CITATION {"citationID":"VqbZmPAY","properties":{"formattedCitation":"(Hu et al., 2022)","plainCitation":"(Hu et al., 2022)","noteIndex":0},"citationItems":[{"id":73,"uris":["http://zotero.org/users/10695828/items/LWSCV6NL"],"itemData":{"id":73,"type":"article-journal","abstract":"Sliding base (SB) systems are attractive options for protecting low-rise buildings in high-seismicity undeveloped rural areas. This study focuses on the peak sliding displacements (PSDs) of SB structures subjected to three-component earthquake excitations. Both the PSDs in the two principal directions and that with respect to the origin were investigated. The peak ground velocity (PGV) was selected as the ground-motion intensity measure (IM) because of its high correlation with the PSD and simplicity of use in design. The effect of the vertical ground-motion component on the PSDs is negligible. At a given level of normalized PGV, the probability distribution of the normalized PSD approximately follows a lognormal distribution. The relationship between the median normalized PSD and normalized PGV in each principal direction is close to that with respect to the origin, and the influence of the superstructure natural period and mass ratio is insignificant. When the normalized PGV is small, the median normalized PSDs corresponding to the nonpulse-like and near-fault pulse-like records are close to each other; when the normalized PGV exceeds a certain value (approximately 6–8  m/s6–8  m/s&lt;math display=\"inline\" overflow=\"scroll\"&gt;&lt;mrow&gt;&lt;mn&gt;6&lt;/mn&gt;&lt;mi&gt;–&lt;/mi&gt;&lt;mn&gt;8&lt;/mn&gt;&lt;mtext&gt;  &lt;/mtext&gt;&lt;mi mathvariant=\"normal\"&gt;m&lt;/mi&gt;&lt;mo stretchy=\"false\"&gt;/&lt;/mo&gt;&lt;mi mathvariant=\"normal\"&gt;s&lt;/mi&gt;&lt;/mrow&gt;&lt;/math&gt;), the median normalized PSD for the pulse-like records begins to exceed that for the nonpulse-like records, with the difference increasing monotonically as the normalized PGV increases. The lognormal standard deviations of the normalized PSDs are generally between 0.4 and 0.6 except for some cases in which the normalized PGV is small. Based on the numerical results, simplified equations were developed for generating fragility curves.","container-title":"Journal of Structural Engineering","DOI":"10.1061/(ASCE)ST.1943-541X.0003276","ISSN":"1943-541X","issue":"3","language":"EN","license":"© 2021 American Society of Civil Engineers","note":"publisher: American Society of Civil Engineers","page":"04021286","source":"ASCE","title":"Peak Sliding Displacements of Sliding Base Structures Subjected to Earthquake Excitation","volume":"148","author":[{"family":"Hu","given":"Hong-Song"},{"family":"Lin","given":"Fan"},{"family":"Xu","given":"Li-Wen"},{"family":"Gao","given":"Yi-Chao"},{"family":"Guo","given":"Zi-Xiong"}],"issued":{"date-parts":[["2022",3,1]]}}}],"schema":"https://github.com/citation-style-language/schema/raw/master/csl-citation.json"} </w:instrText>
      </w:r>
      <w:r w:rsidR="00F329AC">
        <w:fldChar w:fldCharType="separate"/>
      </w:r>
      <w:r w:rsidR="00F329AC" w:rsidRPr="00F329AC">
        <w:t>(Hu et al., 2022)</w:t>
      </w:r>
      <w:r w:rsidR="00F329AC">
        <w:fldChar w:fldCharType="end"/>
      </w:r>
      <w:r w:rsidR="000D4B1D">
        <w:t>. Sliding base isolators of the pure-friction (PF) type have emerged as a viable alternative since they adopt a cheap light-weight sliding interface between the superstructure and foundation</w:t>
      </w:r>
      <w:r w:rsidR="0087624A">
        <w:t xml:space="preserve"> </w:t>
      </w:r>
      <w:r w:rsidR="0087624A">
        <w:fldChar w:fldCharType="begin"/>
      </w:r>
      <w:r w:rsidR="0087624A">
        <w:instrText xml:space="preserve"> ADDIN ZOTERO_ITEM CSL_CITATION {"citationID":"NnOqpEpp","properties":{"formattedCitation":"(Nanda et al., 2016)","plainCitation":"(Nanda et al., 2016)","noteIndex":0},"citationItems":[{"id":65,"uris":["http://zotero.org/users/10695828/items/8QGFTG5X"],"itemData":{"id":65,"type":"article-journal","abstract":"A simple low-cost friction base-isolation system is examined for its applicability in reducing seismic vulnerability of rural buildings. Four friction isolation interfaces, namely, marble–marble, marble–high-density polyethylene, marble–rubber sheet, and marble–geosynthetic, were studied. The friction properties of these interfaces were studied under static and dynamic conditions for a range of normal loads from 10 to 50 kN. The average coefficients of friction for all of these interfaces except marble–rubber were found to be in the range of 0.05–0.15. The effectiveness of these isolation systems was investigated both analytically and experimentally for a spectrum-compatible ground motion corresponding to the maximum credible earthquake for the most severe earthquake zone according to Indian standards for earthquake-resistant design. The analytical prediction of seismic response of buildings with such isolation was found to be in good agreement (within 19%) with the experimental observation. It was found that for marble–marble and marble–geosynthetic interfaces, more than 50% reduction in absolute response acceleration at the roof level could be achieved in comparison with the response of the fixed-base structure at the cost of increasing relative sliding displacements at the friction interface. However, these relative displacements were well within the commonly adopted plinth projection (75 mm).","container-title":"Practice Periodical on Structural Design and Construction","DOI":"10.1061/(ASCE)SC.1943-5576.0000254","issue":"1","language":"en","note":"publisher: American Society of Civil Engineers","page":"04015001","source":"ASCE","title":"Low-Cost Base-Isolation System for Seismic Protection of Rural Buildings","volume":"21","author":[{"family":"Nanda","given":"Radhikesh P."},{"family":"Shrikhande","given":"Manish"},{"family":"Agarwal","given":"Pankaj"}],"issued":{"date-parts":[["2016",2,1]]}}}],"schema":"https://github.com/citation-style-language/schema/raw/master/csl-citation.json"} </w:instrText>
      </w:r>
      <w:r w:rsidR="0087624A">
        <w:fldChar w:fldCharType="separate"/>
      </w:r>
      <w:r w:rsidR="0087624A" w:rsidRPr="0087624A">
        <w:t>(Nanda et al., 2016)</w:t>
      </w:r>
      <w:r w:rsidR="0087624A">
        <w:fldChar w:fldCharType="end"/>
      </w:r>
      <w:r w:rsidR="000D4B1D">
        <w:t xml:space="preserve">. They have also been shown to perform well over a wide range of earthquake frequencies and provide a high degree of acceleration </w:t>
      </w:r>
      <w:r w:rsidR="00872B0C">
        <w:t>isolation</w:t>
      </w:r>
      <w:r w:rsidR="0087624A">
        <w:fldChar w:fldCharType="begin"/>
      </w:r>
      <w:r w:rsidR="0087624A">
        <w:instrText xml:space="preserve"> ADDIN ZOTERO_ITEM CSL_CITATION {"citationID":"JrWL1ipg","properties":{"formattedCitation":"(Jangid, 2005)","plainCitation":"(Jangid, 2005)","noteIndex":0},"citationItems":[{"id":66,"uris":["http://zotero.org/users/10695828/items/LUIS545U"],"itemData":{"id":66,"type":"article-journal","abstract":"The problem of sliding structures is discontinuous one as different sets of equations of motion with varying forcing functions are required for the sliding and non-sliding phases. This is inconvenient for the numerical integration of the governing equations for the response of sliding structures. To overcome such difficulties continuous hysteretic models of the sliding systems have been presented in the past. In the present study, a comparison of the response of structures (i.e. multi-storey buildings and bridges) isolated by sliding systems with conventional and hysteretic models of the frictional force of the sliding system is carried out to investigate the comparative performance and computational efficiency of the two models. The seismic response of isolated structures is obtained by solving the governing equations of motion using a step-by-step method under single and two horizontal components of real earthquake motions. For comparative study, the seismic response of a multi-storey building obtained by the conventional model is compared with the corresponding response by the hysteretic model under different sliding isolation systems, numbers of storeys and values of the fundamental time period of the superstructure. It is found that the conventional and hysteretic models of sliding systems predict a similar seismic response for isolated structures. However, the difference in the response between the two models is relatively more for the pure friction system as compared with the sliding systems with restoring force. Further, the conventional model is relatively more computationally efficient as compared with the hysteretic model. Copyright © 2004 John Wiley &amp; Sons, Ltd.","container-title":"Structural Control and Health Monitoring","DOI":"10.1002/stc.59","ISSN":"1545-2263","issue":"1","language":"en","note":"_eprint: https://onlinelibrary.wiley.com/doi/pdf/10.1002/stc.59","page":"117-137","source":"Wiley Online Library","title":"Computational numerical models for seismic response of structures isolated by sliding systems","volume":"12","author":[{"family":"Jangid","given":"R.s."}],"issued":{"date-parts":[["2005"]]}}}],"schema":"https://github.com/citation-style-language/schema/raw/master/csl-citation.json"} </w:instrText>
      </w:r>
      <w:r w:rsidR="0087624A">
        <w:fldChar w:fldCharType="separate"/>
      </w:r>
      <w:r w:rsidR="0087624A" w:rsidRPr="0087624A">
        <w:t>(Jangid, 2005)</w:t>
      </w:r>
      <w:r w:rsidR="0087624A">
        <w:fldChar w:fldCharType="end"/>
      </w:r>
      <w:r w:rsidR="000D4B1D">
        <w:t xml:space="preserve">. </w:t>
      </w:r>
    </w:p>
    <w:p w:rsidR="000744C6" w:rsidRDefault="00872B0C">
      <w:pPr>
        <w:pStyle w:val="BodyText"/>
        <w:ind w:left="118" w:right="38" w:firstLine="283"/>
        <w:jc w:val="both"/>
      </w:pPr>
      <w:r>
        <w:t xml:space="preserve">Soil-structure interaction (SSI), the interaction between dynamic ground motion and structural motion, </w:t>
      </w:r>
      <w:r w:rsidR="00BB229C">
        <w:t>generally increases the period of the structure and hence are often ignored in structural analysis</w:t>
      </w:r>
      <w:r>
        <w:t xml:space="preserve">. </w:t>
      </w:r>
      <w:r w:rsidR="00BB229C">
        <w:t>However, it is well-documented that SSI could have significant effects on low-rise buildings on soft soils</w:t>
      </w:r>
      <w:r w:rsidR="0087624A">
        <w:fldChar w:fldCharType="begin"/>
      </w:r>
      <w:r w:rsidR="0087624A">
        <w:instrText xml:space="preserve"> ADDIN ZOTERO_ITEM CSL_CITATION {"citationID":"aerhe4Ee","properties":{"formattedCitation":"(Spyrakos et al., 2009)","plainCitation":"(Spyrakos et al., 2009)","noteIndex":0},"citationItems":[{"id":68,"uris":["http://zotero.org/users/10695828/items/9LPMND7H"],"itemData":{"id":68,"type":"article-journal","abstract":"The present study investigates the effects of soil–structure interaction (SSI) on the response of base-isolated multistory buildings founded on an elastic soil layer overlying rigid bedrock and subjected to a harmonic ground motion. Initially a four-degree-of-freedom system (4-DOF) is developed and the equations of motion are formulated in the frequency domain. Frequency independent expressions are used to determine the stiffness and damping coefficients for the rigid surface foundation on the soil-stratum underlined by bedrock at shallow depth. Assuming the foundation mass to be negligible, an equivalent two-degree-of-freedom (2-DOF) system is derived. The first mode of motion of the equivalent 2-DOF system appears to be sufficient to describe the response of the overall system for all ranges of stiffness and inertia properties of the structure and its isolation. An extensive parametric study demonstrates that SSI effects are significant, primarily for squat, light structures, founded on soil-stratum of low stiffness. The methodology could serve as a means to perform a preliminary seismic design of base-isolated building structures founded on homogenous soil-stratum over bedrock.","container-title":"Engineering Structures - ENG STRUCT","DOI":"10.1016/j.engstruct.2008.10.012","journalAbbreviation":"Engineering Structures - ENG STRUCT","page":"729-737","source":"ResearchGate","title":"Soil–structure interaction effects on base-isolated buildings founded on soil stratum","volume":"31","author":[{"family":"Spyrakos","given":"Constantine"},{"family":"Maniatakis","given":"Charilaos"},{"family":"Koutromanos","given":"Ioannis"}],"issued":{"date-parts":[["2009",3,1]]}}}],"schema":"https://github.com/citation-style-language/schema/raw/master/csl-citation.json"} </w:instrText>
      </w:r>
      <w:r w:rsidR="0087624A">
        <w:fldChar w:fldCharType="separate"/>
      </w:r>
      <w:r w:rsidR="0087624A" w:rsidRPr="0087624A">
        <w:t>(Spyrakos et al., 2009)</w:t>
      </w:r>
      <w:r w:rsidR="0087624A">
        <w:fldChar w:fldCharType="end"/>
      </w:r>
      <w:r w:rsidR="00BB229C">
        <w:t>. Since PF base isolation is mostly geared towards low-rise rural buildings, there is a need for a detailed study of SSI on PF base isolation. Moreover, most studies on SS</w:t>
      </w:r>
      <w:r w:rsidR="002B650B">
        <w:t>I involve finite element analyse</w:t>
      </w:r>
      <w:r w:rsidR="00BB229C">
        <w:t>s of massive grids, so they are</w:t>
      </w:r>
      <w:r w:rsidR="002B650B">
        <w:t xml:space="preserve"> too</w:t>
      </w:r>
      <w:r w:rsidR="00BB229C">
        <w:t xml:space="preserve"> computationally involved </w:t>
      </w:r>
      <w:r w:rsidR="002B650B">
        <w:t>to carry out a</w:t>
      </w:r>
      <w:r w:rsidR="00BB229C">
        <w:t xml:space="preserve"> detailed parametric study. </w:t>
      </w:r>
      <w:r w:rsidR="006304B5">
        <w:t xml:space="preserve">Hence, in this paper, we aim to </w:t>
      </w:r>
      <w:r w:rsidR="002B650B">
        <w:t>present a simple, continuous, analytical model and conduct</w:t>
      </w:r>
      <w:r w:rsidR="006304B5">
        <w:t xml:space="preserve"> a parametric study of the effect of SSI on PF isolators over a wide range of near-fault and far-fault records.</w:t>
      </w:r>
    </w:p>
    <w:p w:rsidR="00B161B4" w:rsidRDefault="00B161B4" w:rsidP="003A5353">
      <w:pPr>
        <w:pStyle w:val="BodyText"/>
        <w:ind w:left="118" w:right="38" w:firstLine="283"/>
        <w:jc w:val="both"/>
      </w:pPr>
      <w:r>
        <w:t xml:space="preserve">Since the </w:t>
      </w:r>
      <w:r w:rsidR="00637A60">
        <w:t>Coulomb’s dry friction</w:t>
      </w:r>
      <w:r>
        <w:t xml:space="preserve"> </w:t>
      </w:r>
      <w:r w:rsidR="00637A60">
        <w:t xml:space="preserve">model </w:t>
      </w:r>
      <w:r>
        <w:t>involve</w:t>
      </w:r>
      <w:r w:rsidR="00637A60">
        <w:t>s</w:t>
      </w:r>
      <w:r>
        <w:t xml:space="preserve"> two sets of equations for sliding and non-sliding phase</w:t>
      </w:r>
      <w:r w:rsidR="007C256F">
        <w:t>s shown in</w:t>
      </w:r>
      <w:r w:rsidR="00637A60">
        <w:t xml:space="preserve"> Eq.</w:t>
      </w:r>
      <w:r w:rsidR="00D00E4D">
        <w:fldChar w:fldCharType="begin"/>
      </w:r>
      <w:r w:rsidR="00D00E4D">
        <w:instrText xml:space="preserve"> REF _Ref123722836 \h </w:instrText>
      </w:r>
      <w:r w:rsidR="00D00E4D">
        <w:fldChar w:fldCharType="separate"/>
      </w:r>
      <w:r w:rsidR="00C54398" w:rsidRPr="005706FC">
        <w:rPr>
          <w:sz w:val="20"/>
          <w:szCs w:val="20"/>
        </w:rPr>
        <w:t>(</w:t>
      </w:r>
      <w:r w:rsidR="00C54398">
        <w:rPr>
          <w:i/>
          <w:noProof/>
          <w:sz w:val="20"/>
          <w:szCs w:val="20"/>
        </w:rPr>
        <w:t>2</w:t>
      </w:r>
      <w:r w:rsidR="00C54398" w:rsidRPr="005706FC">
        <w:rPr>
          <w:sz w:val="20"/>
          <w:szCs w:val="20"/>
        </w:rPr>
        <w:t>)</w:t>
      </w:r>
      <w:r w:rsidR="00D00E4D">
        <w:fldChar w:fldCharType="end"/>
      </w:r>
      <w:r>
        <w:t xml:space="preserve">, we approximated </w:t>
      </w:r>
      <w:r w:rsidR="00637A60">
        <w:t>it</w:t>
      </w:r>
      <w:r>
        <w:t xml:space="preserve"> with the arctangent approximation to obtain a continuous model</w:t>
      </w:r>
      <w:r w:rsidR="007C256F">
        <w:t xml:space="preserve"> shown in</w:t>
      </w:r>
      <w:r w:rsidR="00D00E4D">
        <w:t xml:space="preserve"> Eq.</w:t>
      </w:r>
      <w:r w:rsidR="00D00E4D">
        <w:fldChar w:fldCharType="begin"/>
      </w:r>
      <w:r w:rsidR="00D00E4D">
        <w:instrText xml:space="preserve"> REF _Ref123722858 \h </w:instrText>
      </w:r>
      <w:r w:rsidR="00D00E4D">
        <w:fldChar w:fldCharType="separate"/>
      </w:r>
      <w:r w:rsidR="00C54398" w:rsidRPr="005706FC">
        <w:rPr>
          <w:sz w:val="20"/>
          <w:szCs w:val="20"/>
        </w:rPr>
        <w:t>(</w:t>
      </w:r>
      <w:r w:rsidR="00C54398">
        <w:rPr>
          <w:i/>
          <w:noProof/>
          <w:sz w:val="20"/>
          <w:szCs w:val="20"/>
        </w:rPr>
        <w:t>3</w:t>
      </w:r>
      <w:r w:rsidR="00C54398" w:rsidRPr="005706FC">
        <w:rPr>
          <w:sz w:val="20"/>
          <w:szCs w:val="20"/>
        </w:rPr>
        <w:t>)</w:t>
      </w:r>
      <w:r w:rsidR="00D00E4D">
        <w:fldChar w:fldCharType="end"/>
      </w:r>
      <w:r w:rsidR="0087624A">
        <w:t xml:space="preserve"> </w:t>
      </w:r>
      <w:r w:rsidR="0087624A">
        <w:fldChar w:fldCharType="begin"/>
      </w:r>
      <w:r w:rsidR="0087624A">
        <w:instrText xml:space="preserve"> ADDIN ZOTERO_ITEM CSL_CITATION {"citationID":"zPL7E0be","properties":{"formattedCitation":"(Leine and Nijmeijer, 2006)","plainCitation":"(Leine and Nijmeijer, 2006)","noteIndex":0},"citationItems":[{"id":71,"uris":["http://zotero.org/users/10695828/items/Z7L5RGE3"],"itemData":{"id":71,"type":"book","abstract":"This monograph combines the knowledge of both the field of nonlinear dynamics and non-smooth mechanics, presenting a framework for a class of non-smooth mechanical systems using techniques from both fields. The book reviews recent developments, and opens the field to the nonlinear dynamics community. This book addresses researchers and graduate students in engineering and mathematics interested in the modelling, simulation and dynamics of non-smooth systems and nonlinear dynamics.","ISBN":"978-3-540-21987-3","language":"en","number-of-pages":"252","publisher":"Springer Science &amp; Business Media","source":"Google Books","title":"Dynamics and Bifurcations of Non-Smooth Mechanical Systems","author":[{"family":"Leine","given":"Remco"},{"family":"Nijmeijer","given":"Henk"}],"issued":{"date-parts":[["2006",6,13]]}}}],"schema":"https://github.com/citation-style-language/schema/raw/master/csl-citation.json"} </w:instrText>
      </w:r>
      <w:r w:rsidR="0087624A">
        <w:fldChar w:fldCharType="separate"/>
      </w:r>
      <w:r w:rsidR="0087624A" w:rsidRPr="0087624A">
        <w:t>(Leine and Nijmeijer, 2006)</w:t>
      </w:r>
      <w:r w:rsidR="0087624A">
        <w:fldChar w:fldCharType="end"/>
      </w:r>
      <w:r>
        <w:t xml:space="preserve">. </w:t>
      </w:r>
    </w:p>
    <w:p w:rsidR="00637A60" w:rsidRDefault="000F6C31" w:rsidP="00637A60">
      <w:pPr>
        <w:pStyle w:val="BodyText"/>
        <w:keepNext/>
        <w:ind w:left="118" w:right="38" w:firstLine="283"/>
        <w:jc w:val="both"/>
      </w:pPr>
      <m:oMathPara>
        <m:oMath>
          <m:r>
            <w:rPr>
              <w:rFonts w:ascii="Cambria Math" w:hAnsi="Cambria Math"/>
            </w:rPr>
            <m:t xml:space="preserve">Friction force, </m:t>
          </m:r>
          <m:sSub>
            <m:sSubPr>
              <m:ctrlPr>
                <w:rPr>
                  <w:rFonts w:ascii="Cambria Math" w:hAnsi="Cambria Math"/>
                  <w:i/>
                </w:rPr>
              </m:ctrlPr>
            </m:sSubPr>
            <m:e>
              <m:r>
                <w:rPr>
                  <w:rFonts w:ascii="Cambria Math" w:hAnsi="Cambria Math"/>
                </w:rPr>
                <m:t>F</m:t>
              </m:r>
            </m:e>
            <m:sub>
              <m:r>
                <w:rPr>
                  <w:rFonts w:ascii="Cambria Math" w:hAnsi="Cambria Math"/>
                </w:rPr>
                <m:t>f</m:t>
              </m:r>
            </m:sub>
          </m:sSub>
          <m:r>
            <w:rPr>
              <w:rFonts w:ascii="Cambria Math" w:hAnsi="Cambria Math"/>
            </w:rPr>
            <m:t>= μmg*sign(</m:t>
          </m:r>
          <m:sSub>
            <m:sSubPr>
              <m:ctrlPr>
                <w:rPr>
                  <w:rFonts w:ascii="Cambria Math" w:hAnsi="Cambria Math"/>
                  <w:i/>
                </w:rPr>
              </m:ctrlPr>
            </m:sSubPr>
            <m:e>
              <m:r>
                <w:rPr>
                  <w:rFonts w:ascii="Cambria Math" w:hAnsi="Cambria Math"/>
                </w:rPr>
                <m:t>v</m:t>
              </m:r>
            </m:e>
            <m:sub>
              <m:r>
                <w:rPr>
                  <w:rFonts w:ascii="Cambria Math" w:hAnsi="Cambria Math"/>
                </w:rPr>
                <m:t>rel</m:t>
              </m:r>
            </m:sub>
          </m:sSub>
          <m:r>
            <w:rPr>
              <w:rFonts w:ascii="Cambria Math" w:hAnsi="Cambria Math"/>
            </w:rPr>
            <m:t>)</m:t>
          </m:r>
        </m:oMath>
      </m:oMathPara>
    </w:p>
    <w:p w:rsidR="000F6C31" w:rsidRPr="005706FC" w:rsidRDefault="00637A60" w:rsidP="00637A60">
      <w:pPr>
        <w:pStyle w:val="Caption"/>
        <w:jc w:val="right"/>
        <w:rPr>
          <w:i w:val="0"/>
          <w:sz w:val="20"/>
          <w:szCs w:val="20"/>
        </w:rPr>
      </w:pPr>
      <w:bookmarkStart w:id="0" w:name="_Ref123722717"/>
      <w:r w:rsidRPr="005706FC">
        <w:rPr>
          <w:i w:val="0"/>
          <w:color w:val="auto"/>
          <w:sz w:val="20"/>
          <w:szCs w:val="20"/>
        </w:rPr>
        <w:t>(</w:t>
      </w:r>
      <w:r w:rsidRPr="005706FC">
        <w:rPr>
          <w:i w:val="0"/>
          <w:color w:val="auto"/>
          <w:sz w:val="20"/>
          <w:szCs w:val="20"/>
        </w:rPr>
        <w:fldChar w:fldCharType="begin"/>
      </w:r>
      <w:r w:rsidRPr="005706FC">
        <w:rPr>
          <w:i w:val="0"/>
          <w:color w:val="auto"/>
          <w:sz w:val="20"/>
          <w:szCs w:val="20"/>
        </w:rPr>
        <w:instrText xml:space="preserve"> SEQ ( \* ARABIC </w:instrText>
      </w:r>
      <w:r w:rsidRPr="005706FC">
        <w:rPr>
          <w:i w:val="0"/>
          <w:color w:val="auto"/>
          <w:sz w:val="20"/>
          <w:szCs w:val="20"/>
        </w:rPr>
        <w:fldChar w:fldCharType="separate"/>
      </w:r>
      <w:r w:rsidR="00C54398">
        <w:rPr>
          <w:i w:val="0"/>
          <w:noProof/>
          <w:color w:val="auto"/>
          <w:sz w:val="20"/>
          <w:szCs w:val="20"/>
        </w:rPr>
        <w:t>1</w:t>
      </w:r>
      <w:r w:rsidRPr="005706FC">
        <w:rPr>
          <w:i w:val="0"/>
          <w:color w:val="auto"/>
          <w:sz w:val="20"/>
          <w:szCs w:val="20"/>
        </w:rPr>
        <w:fldChar w:fldCharType="end"/>
      </w:r>
      <w:r w:rsidRPr="005706FC">
        <w:rPr>
          <w:i w:val="0"/>
          <w:color w:val="auto"/>
          <w:sz w:val="20"/>
          <w:szCs w:val="20"/>
        </w:rPr>
        <w:t>)</w:t>
      </w:r>
      <w:bookmarkEnd w:id="0"/>
    </w:p>
    <w:p w:rsidR="005706FC" w:rsidRDefault="00F329AC" w:rsidP="000F6C31">
      <w:pPr>
        <w:pStyle w:val="BodyText"/>
        <w:ind w:right="38"/>
        <w:jc w:val="both"/>
      </w:pPr>
      <w:r>
        <w:br w:type="column"/>
      </w:r>
    </w:p>
    <w:p w:rsidR="000F6C31" w:rsidRDefault="000F6C31" w:rsidP="000F6C31">
      <w:pPr>
        <w:pStyle w:val="BodyText"/>
        <w:ind w:right="38"/>
        <w:jc w:val="both"/>
      </w:pPr>
      <w:bookmarkStart w:id="1" w:name="_GoBack"/>
      <w:bookmarkEnd w:id="1"/>
      <w:r>
        <w:t>Where the actual discontinuous model is:</w:t>
      </w:r>
    </w:p>
    <w:p w:rsidR="00637A60" w:rsidRDefault="000F6C31" w:rsidP="00637A60">
      <w:pPr>
        <w:pStyle w:val="BodyText"/>
        <w:keepNext/>
        <w:ind w:right="38"/>
        <w:jc w:val="both"/>
      </w:pPr>
      <m:oMathPara>
        <m:oMath>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rel</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m:t>
                  </m:r>
                  <m:sSub>
                    <m:sSubPr>
                      <m:ctrlPr>
                        <w:rPr>
                          <w:rFonts w:ascii="Cambria Math" w:hAnsi="Cambria Math"/>
                          <w:i/>
                        </w:rPr>
                      </m:ctrlPr>
                    </m:sSubPr>
                    <m:e>
                      <m:r>
                        <w:rPr>
                          <w:rFonts w:ascii="Cambria Math" w:hAnsi="Cambria Math"/>
                        </w:rPr>
                        <m:t>v</m:t>
                      </m:r>
                    </m:e>
                    <m:sub>
                      <m:r>
                        <w:rPr>
                          <w:rFonts w:ascii="Cambria Math" w:hAnsi="Cambria Math"/>
                        </w:rPr>
                        <m:t>rel</m:t>
                      </m:r>
                    </m:sub>
                  </m:sSub>
                  <m:r>
                    <w:rPr>
                      <w:rFonts w:ascii="Cambria Math" w:hAnsi="Cambria Math"/>
                    </w:rPr>
                    <m:t xml:space="preserve">&lt;0 </m:t>
                  </m:r>
                </m:e>
                <m:e>
                  <m:r>
                    <w:rPr>
                      <w:rFonts w:ascii="Cambria Math" w:hAnsi="Cambria Math"/>
                    </w:rPr>
                    <m:t xml:space="preserve">    -1          </m:t>
                  </m:r>
                  <m:sSub>
                    <m:sSubPr>
                      <m:ctrlPr>
                        <w:rPr>
                          <w:rFonts w:ascii="Cambria Math" w:hAnsi="Cambria Math"/>
                          <w:i/>
                        </w:rPr>
                      </m:ctrlPr>
                    </m:sSubPr>
                    <m:e>
                      <m:r>
                        <w:rPr>
                          <w:rFonts w:ascii="Cambria Math" w:hAnsi="Cambria Math"/>
                        </w:rPr>
                        <m:t>v</m:t>
                      </m:r>
                    </m:e>
                    <m:sub>
                      <m:r>
                        <w:rPr>
                          <w:rFonts w:ascii="Cambria Math" w:hAnsi="Cambria Math"/>
                        </w:rPr>
                        <m:t>rel</m:t>
                      </m:r>
                    </m:sub>
                  </m:sSub>
                  <m:r>
                    <w:rPr>
                      <w:rFonts w:ascii="Cambria Math" w:hAnsi="Cambria Math"/>
                    </w:rPr>
                    <m:t xml:space="preserve">&gt;0 </m:t>
                  </m:r>
                </m:e>
                <m:e>
                  <m:r>
                    <w:rPr>
                      <w:rFonts w:ascii="Cambria Math" w:hAnsi="Cambria Math"/>
                    </w:rPr>
                    <m:t xml:space="preserve">  </m:t>
                  </m:r>
                  <m:d>
                    <m:dPr>
                      <m:begChr m:val="["/>
                      <m:endChr m:val="]"/>
                      <m:ctrlPr>
                        <w:rPr>
                          <w:rFonts w:ascii="Cambria Math" w:hAnsi="Cambria Math"/>
                          <w:i/>
                        </w:rPr>
                      </m:ctrlPr>
                    </m:dPr>
                    <m:e>
                      <m:r>
                        <w:rPr>
                          <w:rFonts w:ascii="Cambria Math" w:hAnsi="Cambria Math"/>
                        </w:rPr>
                        <m:t>-1,1</m:t>
                      </m:r>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rel</m:t>
                      </m:r>
                    </m:sub>
                  </m:sSub>
                  <m:r>
                    <w:rPr>
                      <w:rFonts w:ascii="Cambria Math" w:hAnsi="Cambria Math"/>
                    </w:rPr>
                    <m:t>=0</m:t>
                  </m:r>
                </m:e>
              </m:eqArr>
            </m:e>
          </m:d>
        </m:oMath>
      </m:oMathPara>
    </w:p>
    <w:p w:rsidR="00BC352D" w:rsidRPr="005706FC" w:rsidRDefault="00637A60" w:rsidP="0087624A">
      <w:pPr>
        <w:pStyle w:val="Caption"/>
        <w:jc w:val="right"/>
        <w:rPr>
          <w:i w:val="0"/>
          <w:sz w:val="20"/>
          <w:szCs w:val="20"/>
        </w:rPr>
      </w:pPr>
      <w:bookmarkStart w:id="2" w:name="_Ref123722836"/>
      <w:r w:rsidRPr="005706FC">
        <w:rPr>
          <w:i w:val="0"/>
          <w:color w:val="auto"/>
          <w:sz w:val="20"/>
          <w:szCs w:val="20"/>
        </w:rPr>
        <w:t>(</w:t>
      </w:r>
      <w:r w:rsidRPr="005706FC">
        <w:rPr>
          <w:i w:val="0"/>
          <w:color w:val="auto"/>
          <w:sz w:val="20"/>
          <w:szCs w:val="20"/>
        </w:rPr>
        <w:fldChar w:fldCharType="begin"/>
      </w:r>
      <w:r w:rsidRPr="005706FC">
        <w:rPr>
          <w:i w:val="0"/>
          <w:color w:val="auto"/>
          <w:sz w:val="20"/>
          <w:szCs w:val="20"/>
        </w:rPr>
        <w:instrText xml:space="preserve"> SEQ ( \* ARABIC </w:instrText>
      </w:r>
      <w:r w:rsidRPr="005706FC">
        <w:rPr>
          <w:i w:val="0"/>
          <w:color w:val="auto"/>
          <w:sz w:val="20"/>
          <w:szCs w:val="20"/>
        </w:rPr>
        <w:fldChar w:fldCharType="separate"/>
      </w:r>
      <w:r w:rsidR="00C54398">
        <w:rPr>
          <w:i w:val="0"/>
          <w:noProof/>
          <w:color w:val="auto"/>
          <w:sz w:val="20"/>
          <w:szCs w:val="20"/>
        </w:rPr>
        <w:t>2</w:t>
      </w:r>
      <w:r w:rsidRPr="005706FC">
        <w:rPr>
          <w:i w:val="0"/>
          <w:color w:val="auto"/>
          <w:sz w:val="20"/>
          <w:szCs w:val="20"/>
        </w:rPr>
        <w:fldChar w:fldCharType="end"/>
      </w:r>
      <w:r w:rsidRPr="005706FC">
        <w:rPr>
          <w:i w:val="0"/>
          <w:color w:val="auto"/>
          <w:sz w:val="20"/>
          <w:szCs w:val="20"/>
        </w:rPr>
        <w:t>)</w:t>
      </w:r>
      <w:bookmarkEnd w:id="2"/>
    </w:p>
    <w:p w:rsidR="00BC352D" w:rsidRDefault="00BC352D" w:rsidP="00BC352D">
      <w:pPr>
        <w:pStyle w:val="BodyText"/>
        <w:ind w:right="38"/>
        <w:jc w:val="both"/>
      </w:pPr>
      <w:r>
        <w:t>The smooth arctangent approximation gives:</w:t>
      </w:r>
    </w:p>
    <w:p w:rsidR="00637A60" w:rsidRDefault="00BC352D" w:rsidP="00637A60">
      <w:pPr>
        <w:pStyle w:val="BodyText"/>
        <w:keepNext/>
        <w:ind w:right="38"/>
        <w:jc w:val="both"/>
      </w:pPr>
      <m:oMathPara>
        <m:oMath>
          <m:r>
            <w:rPr>
              <w:rFonts w:ascii="Cambria Math" w:hAnsi="Cambria Math"/>
            </w:rPr>
            <m:t>sign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rel</m:t>
                  </m:r>
                </m:sub>
              </m:sSub>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π</m:t>
              </m:r>
            </m:den>
          </m:f>
          <m:r>
            <m:rPr>
              <m:sty m:val="p"/>
            </m:rPr>
            <w:rPr>
              <w:rFonts w:ascii="Cambria Math" w:hAnsi="Cambria Math"/>
            </w:rPr>
            <m:t>arctan⁡</m:t>
          </m:r>
          <m:r>
            <w:rPr>
              <w:rFonts w:ascii="Cambria Math" w:hAnsi="Cambria Math"/>
            </w:rPr>
            <m:t>(ε</m:t>
          </m:r>
          <m:sSub>
            <m:sSubPr>
              <m:ctrlPr>
                <w:rPr>
                  <w:rFonts w:ascii="Cambria Math" w:hAnsi="Cambria Math"/>
                  <w:i/>
                </w:rPr>
              </m:ctrlPr>
            </m:sSubPr>
            <m:e>
              <m:r>
                <w:rPr>
                  <w:rFonts w:ascii="Cambria Math" w:hAnsi="Cambria Math"/>
                </w:rPr>
                <m:t>v</m:t>
              </m:r>
            </m:e>
            <m:sub>
              <m:r>
                <w:rPr>
                  <w:rFonts w:ascii="Cambria Math" w:hAnsi="Cambria Math"/>
                </w:rPr>
                <m:t>rel</m:t>
              </m:r>
            </m:sub>
          </m:sSub>
          <m:r>
            <w:rPr>
              <w:rFonts w:ascii="Cambria Math" w:hAnsi="Cambria Math"/>
            </w:rPr>
            <m:t>)</m:t>
          </m:r>
        </m:oMath>
      </m:oMathPara>
    </w:p>
    <w:p w:rsidR="00BC352D" w:rsidRPr="005706FC" w:rsidRDefault="00637A60" w:rsidP="00637A60">
      <w:pPr>
        <w:pStyle w:val="Caption"/>
        <w:jc w:val="right"/>
        <w:rPr>
          <w:i w:val="0"/>
          <w:sz w:val="20"/>
          <w:szCs w:val="20"/>
        </w:rPr>
      </w:pPr>
      <w:bookmarkStart w:id="3" w:name="_Ref123722858"/>
      <w:r w:rsidRPr="005706FC">
        <w:rPr>
          <w:i w:val="0"/>
          <w:color w:val="auto"/>
          <w:sz w:val="20"/>
          <w:szCs w:val="20"/>
        </w:rPr>
        <w:t>(</w:t>
      </w:r>
      <w:r w:rsidRPr="005706FC">
        <w:rPr>
          <w:i w:val="0"/>
          <w:color w:val="auto"/>
          <w:sz w:val="20"/>
          <w:szCs w:val="20"/>
        </w:rPr>
        <w:fldChar w:fldCharType="begin"/>
      </w:r>
      <w:r w:rsidRPr="005706FC">
        <w:rPr>
          <w:i w:val="0"/>
          <w:color w:val="auto"/>
          <w:sz w:val="20"/>
          <w:szCs w:val="20"/>
        </w:rPr>
        <w:instrText xml:space="preserve"> SEQ ( \* ARABIC </w:instrText>
      </w:r>
      <w:r w:rsidRPr="005706FC">
        <w:rPr>
          <w:i w:val="0"/>
          <w:color w:val="auto"/>
          <w:sz w:val="20"/>
          <w:szCs w:val="20"/>
        </w:rPr>
        <w:fldChar w:fldCharType="separate"/>
      </w:r>
      <w:r w:rsidR="00C54398">
        <w:rPr>
          <w:i w:val="0"/>
          <w:noProof/>
          <w:color w:val="auto"/>
          <w:sz w:val="20"/>
          <w:szCs w:val="20"/>
        </w:rPr>
        <w:t>3</w:t>
      </w:r>
      <w:r w:rsidRPr="005706FC">
        <w:rPr>
          <w:i w:val="0"/>
          <w:color w:val="auto"/>
          <w:sz w:val="20"/>
          <w:szCs w:val="20"/>
        </w:rPr>
        <w:fldChar w:fldCharType="end"/>
      </w:r>
      <w:r w:rsidRPr="005706FC">
        <w:rPr>
          <w:i w:val="0"/>
          <w:color w:val="auto"/>
          <w:sz w:val="20"/>
          <w:szCs w:val="20"/>
        </w:rPr>
        <w:t>)</w:t>
      </w:r>
      <w:bookmarkEnd w:id="3"/>
    </w:p>
    <w:p w:rsidR="00D00E4D" w:rsidRDefault="005C0020" w:rsidP="003A5353">
      <w:pPr>
        <w:pStyle w:val="BodyText"/>
        <w:ind w:left="118" w:right="38" w:firstLine="283"/>
        <w:jc w:val="both"/>
      </w:pPr>
      <w:r>
        <w:t xml:space="preserve">A 4-DOF structural model was developed as shown in </w:t>
      </w:r>
      <w:r w:rsidR="00EF6EF6" w:rsidRPr="00EF6EF6">
        <w:fldChar w:fldCharType="begin"/>
      </w:r>
      <w:r w:rsidR="00EF6EF6" w:rsidRPr="00EF6EF6">
        <w:instrText xml:space="preserve"> REF _Ref123724248 \h  \* MERGEFORMAT </w:instrText>
      </w:r>
      <w:r w:rsidR="00EF6EF6" w:rsidRPr="00EF6EF6">
        <w:fldChar w:fldCharType="separate"/>
      </w:r>
      <w:r w:rsidR="00C54398" w:rsidRPr="00C54398">
        <w:rPr>
          <w:color w:val="000000" w:themeColor="text1"/>
        </w:rPr>
        <w:t xml:space="preserve">Fig. </w:t>
      </w:r>
      <w:r w:rsidR="00C54398" w:rsidRPr="00C54398">
        <w:rPr>
          <w:noProof/>
          <w:color w:val="000000" w:themeColor="text1"/>
        </w:rPr>
        <w:t>1</w:t>
      </w:r>
      <w:r w:rsidR="00EF6EF6" w:rsidRPr="00EF6EF6">
        <w:fldChar w:fldCharType="end"/>
      </w:r>
      <w:r>
        <w:t>. The equations of motion were derived using Lagrangian mechanics and solved using the Backward Differentiation Formula (BDF).</w:t>
      </w:r>
      <w:r w:rsidR="00EF6EF6">
        <w:t xml:space="preserve"> The system was solved for 20 earthquake records, 10 near-fault and 10 far-fault, all of them scaled to 10 PGAs from 0.1g to 1.0g.</w:t>
      </w:r>
      <w:r>
        <w:t xml:space="preserve"> The response variables of interest were chosen to be Inter-story Drift Ratio (IDR) and Peak Sliding Displacement (PSD) since they are critical in the design of sliding base isolation.</w:t>
      </w:r>
    </w:p>
    <w:p w:rsidR="00EF6EF6" w:rsidRDefault="005C0020" w:rsidP="00EF6EF6">
      <w:pPr>
        <w:pStyle w:val="BodyText"/>
        <w:keepNext/>
        <w:ind w:left="118" w:right="38" w:firstLine="283"/>
        <w:jc w:val="both"/>
      </w:pPr>
      <w:r>
        <w:rPr>
          <w:noProof/>
        </w:rPr>
        <w:drawing>
          <wp:inline distT="0" distB="0" distL="0" distR="0">
            <wp:extent cx="2727325" cy="1990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ee_body_diagram.png"/>
                    <pic:cNvPicPr/>
                  </pic:nvPicPr>
                  <pic:blipFill>
                    <a:blip r:embed="rId12">
                      <a:extLst>
                        <a:ext uri="{28A0092B-C50C-407E-A947-70E740481C1C}">
                          <a14:useLocalDpi xmlns:a14="http://schemas.microsoft.com/office/drawing/2010/main" val="0"/>
                        </a:ext>
                      </a:extLst>
                    </a:blip>
                    <a:stretch>
                      <a:fillRect/>
                    </a:stretch>
                  </pic:blipFill>
                  <pic:spPr>
                    <a:xfrm>
                      <a:off x="0" y="0"/>
                      <a:ext cx="2727325" cy="1990725"/>
                    </a:xfrm>
                    <a:prstGeom prst="rect">
                      <a:avLst/>
                    </a:prstGeom>
                  </pic:spPr>
                </pic:pic>
              </a:graphicData>
            </a:graphic>
          </wp:inline>
        </w:drawing>
      </w:r>
    </w:p>
    <w:p w:rsidR="007F633C" w:rsidRPr="007F633C" w:rsidRDefault="00EF6EF6" w:rsidP="007F633C">
      <w:pPr>
        <w:pStyle w:val="Caption"/>
        <w:jc w:val="center"/>
        <w:rPr>
          <w:i w:val="0"/>
          <w:color w:val="000000" w:themeColor="text1"/>
          <w:sz w:val="20"/>
          <w:szCs w:val="20"/>
        </w:rPr>
      </w:pPr>
      <w:bookmarkStart w:id="4" w:name="_Ref123724248"/>
      <w:r w:rsidRPr="00EF6EF6">
        <w:rPr>
          <w:b/>
          <w:i w:val="0"/>
          <w:color w:val="000000" w:themeColor="text1"/>
          <w:sz w:val="20"/>
          <w:szCs w:val="20"/>
        </w:rPr>
        <w:t xml:space="preserve">Fig. </w:t>
      </w:r>
      <w:r w:rsidRPr="00EF6EF6">
        <w:rPr>
          <w:b/>
          <w:i w:val="0"/>
          <w:color w:val="000000" w:themeColor="text1"/>
          <w:sz w:val="20"/>
          <w:szCs w:val="20"/>
        </w:rPr>
        <w:fldChar w:fldCharType="begin"/>
      </w:r>
      <w:r w:rsidRPr="00EF6EF6">
        <w:rPr>
          <w:b/>
          <w:i w:val="0"/>
          <w:color w:val="000000" w:themeColor="text1"/>
          <w:sz w:val="20"/>
          <w:szCs w:val="20"/>
        </w:rPr>
        <w:instrText xml:space="preserve"> SEQ Fig. \* ARABIC </w:instrText>
      </w:r>
      <w:r w:rsidRPr="00EF6EF6">
        <w:rPr>
          <w:b/>
          <w:i w:val="0"/>
          <w:color w:val="000000" w:themeColor="text1"/>
          <w:sz w:val="20"/>
          <w:szCs w:val="20"/>
        </w:rPr>
        <w:fldChar w:fldCharType="separate"/>
      </w:r>
      <w:r w:rsidR="00C54398">
        <w:rPr>
          <w:b/>
          <w:i w:val="0"/>
          <w:noProof/>
          <w:color w:val="000000" w:themeColor="text1"/>
          <w:sz w:val="20"/>
          <w:szCs w:val="20"/>
        </w:rPr>
        <w:t>1</w:t>
      </w:r>
      <w:r w:rsidRPr="00EF6EF6">
        <w:rPr>
          <w:b/>
          <w:i w:val="0"/>
          <w:color w:val="000000" w:themeColor="text1"/>
          <w:sz w:val="20"/>
          <w:szCs w:val="20"/>
        </w:rPr>
        <w:fldChar w:fldCharType="end"/>
      </w:r>
      <w:bookmarkEnd w:id="4"/>
      <w:r w:rsidRPr="00EF6EF6">
        <w:rPr>
          <w:b/>
          <w:i w:val="0"/>
          <w:color w:val="000000" w:themeColor="text1"/>
          <w:sz w:val="20"/>
          <w:szCs w:val="20"/>
        </w:rPr>
        <w:t xml:space="preserve"> </w:t>
      </w:r>
      <w:r w:rsidRPr="00EF6EF6">
        <w:rPr>
          <w:i w:val="0"/>
          <w:color w:val="000000" w:themeColor="text1"/>
          <w:sz w:val="20"/>
          <w:szCs w:val="20"/>
        </w:rPr>
        <w:t xml:space="preserve">Analytical model </w:t>
      </w:r>
      <w:r>
        <w:rPr>
          <w:i w:val="0"/>
          <w:color w:val="000000" w:themeColor="text1"/>
          <w:sz w:val="20"/>
          <w:szCs w:val="20"/>
        </w:rPr>
        <w:t>of</w:t>
      </w:r>
      <w:r w:rsidRPr="00EF6EF6">
        <w:rPr>
          <w:i w:val="0"/>
          <w:color w:val="000000" w:themeColor="text1"/>
          <w:sz w:val="20"/>
          <w:szCs w:val="20"/>
        </w:rPr>
        <w:t xml:space="preserve"> base-isolated str</w:t>
      </w:r>
      <w:r w:rsidR="007F633C">
        <w:rPr>
          <w:i w:val="0"/>
          <w:color w:val="000000" w:themeColor="text1"/>
          <w:sz w:val="20"/>
          <w:szCs w:val="20"/>
        </w:rPr>
        <w:t>ucture including soil impedance</w:t>
      </w:r>
    </w:p>
    <w:p w:rsidR="00143551" w:rsidRDefault="00143551" w:rsidP="00143551">
      <w:pPr>
        <w:pStyle w:val="BodyText"/>
        <w:ind w:left="118" w:right="38" w:firstLine="283"/>
        <w:jc w:val="both"/>
      </w:pPr>
      <w:r>
        <w:t xml:space="preserve">The parametric plot of PSD in different PGAs, both with and without SSI considerations are shown in </w:t>
      </w:r>
      <w:r w:rsidR="00B14026" w:rsidRPr="00B14026">
        <w:fldChar w:fldCharType="begin"/>
      </w:r>
      <w:r w:rsidR="00B14026" w:rsidRPr="00B14026">
        <w:instrText xml:space="preserve"> REF _Ref123729684 \h  \* MERGEFORMAT </w:instrText>
      </w:r>
      <w:r w:rsidR="00B14026" w:rsidRPr="00B14026">
        <w:fldChar w:fldCharType="separate"/>
      </w:r>
      <w:r w:rsidR="00C54398" w:rsidRPr="00C54398">
        <w:t xml:space="preserve">Fig. </w:t>
      </w:r>
      <w:r w:rsidR="00C54398" w:rsidRPr="00C54398">
        <w:rPr>
          <w:noProof/>
        </w:rPr>
        <w:t>2</w:t>
      </w:r>
      <w:r w:rsidR="00B14026" w:rsidRPr="00B14026">
        <w:fldChar w:fldCharType="end"/>
      </w:r>
      <w:r w:rsidRPr="00B14026">
        <w:t>.</w:t>
      </w:r>
      <w:r>
        <w:t xml:space="preserve"> </w:t>
      </w:r>
      <w:r w:rsidR="002F510E">
        <w:t xml:space="preserve">Comparison of IDR in base isolated and fixed base structures for near fault and far fault earthquakes are shown in </w:t>
      </w:r>
      <w:r w:rsidR="00B14026" w:rsidRPr="007C256F">
        <w:fldChar w:fldCharType="begin"/>
      </w:r>
      <w:r w:rsidR="00B14026" w:rsidRPr="007C256F">
        <w:instrText xml:space="preserve"> REF _Ref123729700 \h </w:instrText>
      </w:r>
      <w:r w:rsidR="00B14026" w:rsidRPr="007C256F">
        <w:fldChar w:fldCharType="separate"/>
      </w:r>
      <w:r w:rsidR="00C54398" w:rsidRPr="00B14026">
        <w:rPr>
          <w:b/>
          <w:sz w:val="20"/>
          <w:szCs w:val="20"/>
        </w:rPr>
        <w:t xml:space="preserve">Fig. </w:t>
      </w:r>
      <w:r w:rsidR="00C54398">
        <w:rPr>
          <w:b/>
          <w:i/>
          <w:noProof/>
          <w:sz w:val="20"/>
          <w:szCs w:val="20"/>
        </w:rPr>
        <w:t>3</w:t>
      </w:r>
      <w:r w:rsidR="00B14026" w:rsidRPr="007C256F">
        <w:fldChar w:fldCharType="end"/>
      </w:r>
      <w:r w:rsidR="00B14026">
        <w:t xml:space="preserve"> and </w:t>
      </w:r>
      <w:r w:rsidR="00B14026" w:rsidRPr="007C256F">
        <w:fldChar w:fldCharType="begin"/>
      </w:r>
      <w:r w:rsidR="00B14026" w:rsidRPr="007C256F">
        <w:instrText xml:space="preserve"> REF _Ref123729712 \h </w:instrText>
      </w:r>
      <w:r w:rsidR="007C256F" w:rsidRPr="007C256F">
        <w:instrText xml:space="preserve"> \* MERGEFORMAT </w:instrText>
      </w:r>
      <w:r w:rsidR="00B14026" w:rsidRPr="007C256F">
        <w:fldChar w:fldCharType="separate"/>
      </w:r>
      <w:r w:rsidR="00C54398" w:rsidRPr="00C54398">
        <w:t xml:space="preserve">Fig. </w:t>
      </w:r>
      <w:r w:rsidR="00C54398" w:rsidRPr="00C54398">
        <w:rPr>
          <w:noProof/>
        </w:rPr>
        <w:t>4</w:t>
      </w:r>
      <w:r w:rsidR="00B14026" w:rsidRPr="007C256F">
        <w:fldChar w:fldCharType="end"/>
      </w:r>
      <w:r w:rsidR="002F510E">
        <w:t xml:space="preserve">. In order to highlight the role of SSI in IDR, percentage reduction of IDR due to SSI is plotted for all earthquakes in </w:t>
      </w:r>
      <w:r w:rsidR="00B14026" w:rsidRPr="00B14026">
        <w:fldChar w:fldCharType="begin"/>
      </w:r>
      <w:r w:rsidR="00B14026" w:rsidRPr="00B14026">
        <w:instrText xml:space="preserve"> REF _Ref123729718 \h  \* MERGEFORMAT </w:instrText>
      </w:r>
      <w:r w:rsidR="00B14026" w:rsidRPr="00B14026">
        <w:fldChar w:fldCharType="separate"/>
      </w:r>
      <w:r w:rsidR="00C54398" w:rsidRPr="00C54398">
        <w:t xml:space="preserve">Fig. </w:t>
      </w:r>
      <w:r w:rsidR="00C54398" w:rsidRPr="00C54398">
        <w:rPr>
          <w:noProof/>
        </w:rPr>
        <w:t>5</w:t>
      </w:r>
      <w:r w:rsidR="00B14026" w:rsidRPr="00B14026">
        <w:fldChar w:fldCharType="end"/>
      </w:r>
      <w:r w:rsidR="002F510E">
        <w:t>.</w:t>
      </w:r>
    </w:p>
    <w:p w:rsidR="00854DF1" w:rsidRDefault="00854DF1" w:rsidP="006A6283">
      <w:pPr>
        <w:pStyle w:val="BodyText"/>
        <w:ind w:left="118" w:right="38" w:firstLine="283"/>
        <w:jc w:val="both"/>
      </w:pPr>
    </w:p>
    <w:p w:rsidR="000744C6" w:rsidRPr="006A6283" w:rsidRDefault="000744C6" w:rsidP="002F510E">
      <w:pPr>
        <w:pStyle w:val="BodyText"/>
        <w:ind w:left="118" w:right="38" w:firstLine="283"/>
        <w:sectPr w:rsidR="000744C6" w:rsidRPr="006A6283">
          <w:type w:val="continuous"/>
          <w:pgSz w:w="11910" w:h="16850"/>
          <w:pgMar w:top="220" w:right="1300" w:bottom="280" w:left="1300" w:header="720" w:footer="720" w:gutter="0"/>
          <w:cols w:num="2" w:space="720" w:equalWidth="0">
            <w:col w:w="4554" w:space="124"/>
            <w:col w:w="4632"/>
          </w:cols>
        </w:sectPr>
      </w:pPr>
    </w:p>
    <w:p w:rsidR="002F510E" w:rsidRDefault="002F510E" w:rsidP="00B14026">
      <w:pPr>
        <w:pStyle w:val="BodyText"/>
        <w:keepNext/>
        <w:spacing w:before="3"/>
        <w:jc w:val="center"/>
      </w:pPr>
      <w:r>
        <w:rPr>
          <w:noProof/>
        </w:rPr>
        <w:lastRenderedPageBreak/>
        <w:drawing>
          <wp:inline distT="0" distB="0" distL="0" distR="0">
            <wp:extent cx="2727325" cy="1419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sd_vs_pg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7325" cy="1419225"/>
                    </a:xfrm>
                    <a:prstGeom prst="rect">
                      <a:avLst/>
                    </a:prstGeom>
                  </pic:spPr>
                </pic:pic>
              </a:graphicData>
            </a:graphic>
          </wp:inline>
        </w:drawing>
      </w:r>
    </w:p>
    <w:p w:rsidR="002F510E" w:rsidRPr="00B14026" w:rsidRDefault="002F510E" w:rsidP="00B14026">
      <w:pPr>
        <w:pStyle w:val="Caption"/>
        <w:jc w:val="center"/>
        <w:rPr>
          <w:i w:val="0"/>
          <w:color w:val="auto"/>
          <w:sz w:val="20"/>
          <w:szCs w:val="20"/>
        </w:rPr>
      </w:pPr>
      <w:bookmarkStart w:id="5" w:name="_Ref123729684"/>
      <w:r w:rsidRPr="00B14026">
        <w:rPr>
          <w:b/>
          <w:i w:val="0"/>
          <w:color w:val="auto"/>
          <w:sz w:val="20"/>
          <w:szCs w:val="20"/>
        </w:rPr>
        <w:t xml:space="preserve">Fig. </w:t>
      </w:r>
      <w:r w:rsidRPr="00B14026">
        <w:rPr>
          <w:b/>
          <w:i w:val="0"/>
          <w:color w:val="auto"/>
          <w:sz w:val="20"/>
          <w:szCs w:val="20"/>
        </w:rPr>
        <w:fldChar w:fldCharType="begin"/>
      </w:r>
      <w:r w:rsidRPr="00B14026">
        <w:rPr>
          <w:b/>
          <w:i w:val="0"/>
          <w:color w:val="auto"/>
          <w:sz w:val="20"/>
          <w:szCs w:val="20"/>
        </w:rPr>
        <w:instrText xml:space="preserve"> SEQ Fig. \* ARABIC </w:instrText>
      </w:r>
      <w:r w:rsidRPr="00B14026">
        <w:rPr>
          <w:b/>
          <w:i w:val="0"/>
          <w:color w:val="auto"/>
          <w:sz w:val="20"/>
          <w:szCs w:val="20"/>
        </w:rPr>
        <w:fldChar w:fldCharType="separate"/>
      </w:r>
      <w:r w:rsidR="00C54398">
        <w:rPr>
          <w:b/>
          <w:i w:val="0"/>
          <w:noProof/>
          <w:color w:val="auto"/>
          <w:sz w:val="20"/>
          <w:szCs w:val="20"/>
        </w:rPr>
        <w:t>2</w:t>
      </w:r>
      <w:r w:rsidRPr="00B14026">
        <w:rPr>
          <w:b/>
          <w:i w:val="0"/>
          <w:color w:val="auto"/>
          <w:sz w:val="20"/>
          <w:szCs w:val="20"/>
        </w:rPr>
        <w:fldChar w:fldCharType="end"/>
      </w:r>
      <w:bookmarkEnd w:id="5"/>
      <w:r w:rsidR="00B14026" w:rsidRPr="00B14026">
        <w:rPr>
          <w:b/>
          <w:i w:val="0"/>
          <w:color w:val="auto"/>
          <w:sz w:val="20"/>
          <w:szCs w:val="20"/>
        </w:rPr>
        <w:t xml:space="preserve"> </w:t>
      </w:r>
      <w:r w:rsidR="00B14026" w:rsidRPr="00B14026">
        <w:rPr>
          <w:i w:val="0"/>
          <w:color w:val="auto"/>
          <w:sz w:val="20"/>
          <w:szCs w:val="20"/>
        </w:rPr>
        <w:t>C</w:t>
      </w:r>
      <w:r w:rsidR="00B14026">
        <w:rPr>
          <w:i w:val="0"/>
          <w:color w:val="auto"/>
          <w:sz w:val="20"/>
          <w:szCs w:val="20"/>
        </w:rPr>
        <w:t>omparis</w:t>
      </w:r>
      <w:r w:rsidR="00B14026" w:rsidRPr="00B14026">
        <w:rPr>
          <w:i w:val="0"/>
          <w:color w:val="auto"/>
          <w:sz w:val="20"/>
          <w:szCs w:val="20"/>
        </w:rPr>
        <w:t>on of PSD with and without SSI</w:t>
      </w:r>
    </w:p>
    <w:p w:rsidR="002F510E" w:rsidRDefault="002F510E" w:rsidP="00B14026">
      <w:pPr>
        <w:keepNext/>
        <w:jc w:val="center"/>
      </w:pPr>
      <w:r>
        <w:rPr>
          <w:noProof/>
        </w:rPr>
        <w:drawing>
          <wp:inline distT="0" distB="0" distL="0" distR="0">
            <wp:extent cx="2727325" cy="1419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ar_fault_pga_id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7325" cy="1419225"/>
                    </a:xfrm>
                    <a:prstGeom prst="rect">
                      <a:avLst/>
                    </a:prstGeom>
                  </pic:spPr>
                </pic:pic>
              </a:graphicData>
            </a:graphic>
          </wp:inline>
        </w:drawing>
      </w:r>
    </w:p>
    <w:p w:rsidR="00B14026" w:rsidRPr="00B14026" w:rsidRDefault="002F510E" w:rsidP="00B14026">
      <w:pPr>
        <w:pStyle w:val="Caption"/>
        <w:jc w:val="center"/>
        <w:rPr>
          <w:i w:val="0"/>
          <w:color w:val="auto"/>
          <w:sz w:val="20"/>
          <w:szCs w:val="20"/>
        </w:rPr>
      </w:pPr>
      <w:bookmarkStart w:id="6" w:name="_Ref123729700"/>
      <w:r w:rsidRPr="00B14026">
        <w:rPr>
          <w:b/>
          <w:i w:val="0"/>
          <w:color w:val="auto"/>
          <w:sz w:val="20"/>
          <w:szCs w:val="20"/>
        </w:rPr>
        <w:t xml:space="preserve">Fig. </w:t>
      </w:r>
      <w:r w:rsidRPr="00B14026">
        <w:rPr>
          <w:b/>
          <w:i w:val="0"/>
          <w:color w:val="auto"/>
          <w:sz w:val="20"/>
          <w:szCs w:val="20"/>
        </w:rPr>
        <w:fldChar w:fldCharType="begin"/>
      </w:r>
      <w:r w:rsidRPr="00B14026">
        <w:rPr>
          <w:b/>
          <w:i w:val="0"/>
          <w:color w:val="auto"/>
          <w:sz w:val="20"/>
          <w:szCs w:val="20"/>
        </w:rPr>
        <w:instrText xml:space="preserve"> SEQ Fig. \* ARABIC </w:instrText>
      </w:r>
      <w:r w:rsidRPr="00B14026">
        <w:rPr>
          <w:b/>
          <w:i w:val="0"/>
          <w:color w:val="auto"/>
          <w:sz w:val="20"/>
          <w:szCs w:val="20"/>
        </w:rPr>
        <w:fldChar w:fldCharType="separate"/>
      </w:r>
      <w:r w:rsidR="00C54398">
        <w:rPr>
          <w:b/>
          <w:i w:val="0"/>
          <w:noProof/>
          <w:color w:val="auto"/>
          <w:sz w:val="20"/>
          <w:szCs w:val="20"/>
        </w:rPr>
        <w:t>3</w:t>
      </w:r>
      <w:r w:rsidRPr="00B14026">
        <w:rPr>
          <w:b/>
          <w:i w:val="0"/>
          <w:color w:val="auto"/>
          <w:sz w:val="20"/>
          <w:szCs w:val="20"/>
        </w:rPr>
        <w:fldChar w:fldCharType="end"/>
      </w:r>
      <w:bookmarkEnd w:id="6"/>
      <w:r w:rsidR="00B14026" w:rsidRPr="00B14026">
        <w:rPr>
          <w:b/>
          <w:i w:val="0"/>
          <w:color w:val="auto"/>
          <w:sz w:val="20"/>
          <w:szCs w:val="20"/>
        </w:rPr>
        <w:t xml:space="preserve"> </w:t>
      </w:r>
      <w:r w:rsidR="00B14026" w:rsidRPr="00B14026">
        <w:rPr>
          <w:i w:val="0"/>
          <w:color w:val="auto"/>
          <w:sz w:val="20"/>
          <w:szCs w:val="20"/>
        </w:rPr>
        <w:t>Effect of base isolation on IDR in near fault earthquakes</w:t>
      </w:r>
    </w:p>
    <w:p w:rsidR="00B14026" w:rsidRDefault="00B14026" w:rsidP="00B14026">
      <w:pPr>
        <w:keepNext/>
        <w:jc w:val="center"/>
      </w:pPr>
      <w:r>
        <w:rPr>
          <w:noProof/>
        </w:rPr>
        <w:drawing>
          <wp:inline distT="0" distB="0" distL="0" distR="0">
            <wp:extent cx="2727325" cy="1419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r_faut_pga_id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7325" cy="1419225"/>
                    </a:xfrm>
                    <a:prstGeom prst="rect">
                      <a:avLst/>
                    </a:prstGeom>
                  </pic:spPr>
                </pic:pic>
              </a:graphicData>
            </a:graphic>
          </wp:inline>
        </w:drawing>
      </w:r>
    </w:p>
    <w:p w:rsidR="00B14026" w:rsidRPr="00B14026" w:rsidRDefault="00B14026" w:rsidP="00B14026">
      <w:pPr>
        <w:pStyle w:val="Caption"/>
        <w:jc w:val="center"/>
        <w:rPr>
          <w:i w:val="0"/>
          <w:color w:val="auto"/>
          <w:sz w:val="20"/>
          <w:szCs w:val="20"/>
        </w:rPr>
      </w:pPr>
      <w:bookmarkStart w:id="7" w:name="_Ref123729712"/>
      <w:r w:rsidRPr="00B14026">
        <w:rPr>
          <w:b/>
          <w:i w:val="0"/>
          <w:color w:val="auto"/>
          <w:sz w:val="20"/>
          <w:szCs w:val="20"/>
        </w:rPr>
        <w:t xml:space="preserve">Fig. </w:t>
      </w:r>
      <w:r w:rsidRPr="00B14026">
        <w:rPr>
          <w:b/>
          <w:i w:val="0"/>
          <w:color w:val="auto"/>
          <w:sz w:val="20"/>
          <w:szCs w:val="20"/>
        </w:rPr>
        <w:fldChar w:fldCharType="begin"/>
      </w:r>
      <w:r w:rsidRPr="00B14026">
        <w:rPr>
          <w:b/>
          <w:i w:val="0"/>
          <w:color w:val="auto"/>
          <w:sz w:val="20"/>
          <w:szCs w:val="20"/>
        </w:rPr>
        <w:instrText xml:space="preserve"> SEQ Fig. \* ARABIC </w:instrText>
      </w:r>
      <w:r w:rsidRPr="00B14026">
        <w:rPr>
          <w:b/>
          <w:i w:val="0"/>
          <w:color w:val="auto"/>
          <w:sz w:val="20"/>
          <w:szCs w:val="20"/>
        </w:rPr>
        <w:fldChar w:fldCharType="separate"/>
      </w:r>
      <w:r w:rsidR="00C54398">
        <w:rPr>
          <w:b/>
          <w:i w:val="0"/>
          <w:noProof/>
          <w:color w:val="auto"/>
          <w:sz w:val="20"/>
          <w:szCs w:val="20"/>
        </w:rPr>
        <w:t>4</w:t>
      </w:r>
      <w:r w:rsidRPr="00B14026">
        <w:rPr>
          <w:b/>
          <w:i w:val="0"/>
          <w:color w:val="auto"/>
          <w:sz w:val="20"/>
          <w:szCs w:val="20"/>
        </w:rPr>
        <w:fldChar w:fldCharType="end"/>
      </w:r>
      <w:bookmarkEnd w:id="7"/>
      <w:r>
        <w:rPr>
          <w:b/>
          <w:i w:val="0"/>
          <w:color w:val="auto"/>
          <w:sz w:val="20"/>
          <w:szCs w:val="20"/>
        </w:rPr>
        <w:t xml:space="preserve"> </w:t>
      </w:r>
      <w:r w:rsidRPr="00B14026">
        <w:rPr>
          <w:i w:val="0"/>
          <w:color w:val="auto"/>
          <w:sz w:val="20"/>
          <w:szCs w:val="20"/>
        </w:rPr>
        <w:t xml:space="preserve">Effect of base isolation on IDR in </w:t>
      </w:r>
      <w:r>
        <w:rPr>
          <w:i w:val="0"/>
          <w:color w:val="auto"/>
          <w:sz w:val="20"/>
          <w:szCs w:val="20"/>
        </w:rPr>
        <w:t>far</w:t>
      </w:r>
      <w:r w:rsidRPr="00B14026">
        <w:rPr>
          <w:i w:val="0"/>
          <w:color w:val="auto"/>
          <w:sz w:val="20"/>
          <w:szCs w:val="20"/>
        </w:rPr>
        <w:t xml:space="preserve"> fault earthquakes</w:t>
      </w:r>
    </w:p>
    <w:p w:rsidR="00B14026" w:rsidRDefault="00B14026" w:rsidP="00B14026">
      <w:pPr>
        <w:keepNext/>
        <w:jc w:val="center"/>
      </w:pPr>
      <w:r>
        <w:rPr>
          <w:noProof/>
        </w:rPr>
        <w:drawing>
          <wp:inline distT="0" distB="0" distL="0" distR="0">
            <wp:extent cx="2727325" cy="1425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duction_in_id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7325" cy="1425575"/>
                    </a:xfrm>
                    <a:prstGeom prst="rect">
                      <a:avLst/>
                    </a:prstGeom>
                  </pic:spPr>
                </pic:pic>
              </a:graphicData>
            </a:graphic>
          </wp:inline>
        </w:drawing>
      </w:r>
    </w:p>
    <w:p w:rsidR="00B14026" w:rsidRPr="00B14026" w:rsidRDefault="00B14026" w:rsidP="00B14026">
      <w:pPr>
        <w:pStyle w:val="Caption"/>
        <w:jc w:val="center"/>
        <w:rPr>
          <w:i w:val="0"/>
          <w:color w:val="auto"/>
          <w:sz w:val="20"/>
          <w:szCs w:val="20"/>
        </w:rPr>
      </w:pPr>
      <w:bookmarkStart w:id="8" w:name="_Ref123729718"/>
      <w:r w:rsidRPr="00B14026">
        <w:rPr>
          <w:b/>
          <w:i w:val="0"/>
          <w:color w:val="auto"/>
          <w:sz w:val="20"/>
          <w:szCs w:val="20"/>
        </w:rPr>
        <w:t xml:space="preserve">Fig. </w:t>
      </w:r>
      <w:r w:rsidRPr="00B14026">
        <w:rPr>
          <w:b/>
          <w:i w:val="0"/>
          <w:color w:val="auto"/>
          <w:sz w:val="20"/>
          <w:szCs w:val="20"/>
        </w:rPr>
        <w:fldChar w:fldCharType="begin"/>
      </w:r>
      <w:r w:rsidRPr="00B14026">
        <w:rPr>
          <w:b/>
          <w:i w:val="0"/>
          <w:color w:val="auto"/>
          <w:sz w:val="20"/>
          <w:szCs w:val="20"/>
        </w:rPr>
        <w:instrText xml:space="preserve"> SEQ Fig. \* ARABIC </w:instrText>
      </w:r>
      <w:r w:rsidRPr="00B14026">
        <w:rPr>
          <w:b/>
          <w:i w:val="0"/>
          <w:color w:val="auto"/>
          <w:sz w:val="20"/>
          <w:szCs w:val="20"/>
        </w:rPr>
        <w:fldChar w:fldCharType="separate"/>
      </w:r>
      <w:r w:rsidR="00C54398">
        <w:rPr>
          <w:b/>
          <w:i w:val="0"/>
          <w:noProof/>
          <w:color w:val="auto"/>
          <w:sz w:val="20"/>
          <w:szCs w:val="20"/>
        </w:rPr>
        <w:t>5</w:t>
      </w:r>
      <w:r w:rsidRPr="00B14026">
        <w:rPr>
          <w:b/>
          <w:i w:val="0"/>
          <w:color w:val="auto"/>
          <w:sz w:val="20"/>
          <w:szCs w:val="20"/>
        </w:rPr>
        <w:fldChar w:fldCharType="end"/>
      </w:r>
      <w:bookmarkEnd w:id="8"/>
      <w:r>
        <w:rPr>
          <w:b/>
          <w:i w:val="0"/>
          <w:color w:val="auto"/>
          <w:sz w:val="20"/>
          <w:szCs w:val="20"/>
        </w:rPr>
        <w:t xml:space="preserve"> </w:t>
      </w:r>
      <w:r>
        <w:rPr>
          <w:i w:val="0"/>
          <w:color w:val="auto"/>
          <w:sz w:val="20"/>
          <w:szCs w:val="20"/>
        </w:rPr>
        <w:t>Reduction in IDR due to SSI for different PGAs</w:t>
      </w:r>
    </w:p>
    <w:p w:rsidR="000744C6" w:rsidRDefault="007913E7">
      <w:pPr>
        <w:pStyle w:val="Heading1"/>
        <w:numPr>
          <w:ilvl w:val="0"/>
          <w:numId w:val="1"/>
        </w:numPr>
        <w:tabs>
          <w:tab w:val="left" w:pos="545"/>
          <w:tab w:val="left" w:pos="547"/>
        </w:tabs>
        <w:spacing w:before="124"/>
        <w:ind w:hanging="429"/>
      </w:pPr>
      <w:r>
        <w:t>Conclusions</w:t>
      </w:r>
    </w:p>
    <w:p w:rsidR="000744C6" w:rsidRDefault="00143551">
      <w:pPr>
        <w:pStyle w:val="BodyText"/>
        <w:spacing w:before="116"/>
        <w:ind w:left="118" w:right="139"/>
        <w:jc w:val="both"/>
        <w:rPr>
          <w:b/>
        </w:rPr>
      </w:pPr>
      <w:r>
        <w:t xml:space="preserve">After the analysis of system for a wide range of near fault and far fault earthquake we concluded, </w:t>
      </w:r>
      <w:r w:rsidR="002F510E">
        <w:t>(</w:t>
      </w:r>
      <w:r w:rsidR="00B14026">
        <w:t>1</w:t>
      </w:r>
      <w:r>
        <w:t>) When SSI is not considered in design the PSD will be underestimated. (</w:t>
      </w:r>
      <w:r w:rsidR="00B14026">
        <w:t>2</w:t>
      </w:r>
      <w:r>
        <w:t>) The % response reduction</w:t>
      </w:r>
      <w:r w:rsidR="006A65CC">
        <w:t xml:space="preserve"> in IDR due to base isolation</w:t>
      </w:r>
      <w:r>
        <w:t xml:space="preserve"> is more for far fault earthquakes vs near fault earthquakes. (</w:t>
      </w:r>
      <w:r w:rsidR="00B14026">
        <w:t>3</w:t>
      </w:r>
      <w:r w:rsidR="006A65CC">
        <w:t>) The response of a building considering SSI is not always smaller than that without considering SSI</w:t>
      </w:r>
      <w:r>
        <w:t>. (</w:t>
      </w:r>
      <w:r w:rsidR="00B14026">
        <w:t>4</w:t>
      </w:r>
      <w:r>
        <w:t xml:space="preserve">) </w:t>
      </w:r>
      <w:r w:rsidR="006A65CC">
        <w:rPr>
          <w:color w:val="000000" w:themeColor="text1"/>
        </w:rPr>
        <w:t>SSI effects are much more pronounced in short buildings on so</w:t>
      </w:r>
      <w:r w:rsidR="007C256F">
        <w:rPr>
          <w:color w:val="000000" w:themeColor="text1"/>
        </w:rPr>
        <w:t>f</w:t>
      </w:r>
      <w:r w:rsidR="006A65CC">
        <w:rPr>
          <w:color w:val="000000" w:themeColor="text1"/>
        </w:rPr>
        <w:t>t soils</w:t>
      </w:r>
      <w:r w:rsidRPr="002F510E">
        <w:rPr>
          <w:color w:val="000000" w:themeColor="text1"/>
        </w:rPr>
        <w:t>.</w:t>
      </w:r>
      <w:r>
        <w:t xml:space="preserve"> (</w:t>
      </w:r>
      <w:r w:rsidR="00B14026">
        <w:t>5</w:t>
      </w:r>
      <w:r>
        <w:t>) The effect of SSI is greater in lower PGAs as compared to higher PGA</w:t>
      </w:r>
      <w:r w:rsidR="006A65CC">
        <w:t>s. Hence, it can be concluded that the practice of ignoring SSI because it adds additional damping to structural response is not always justified and it is crucial that SSI is included in the analysis and design of PF isolators.</w:t>
      </w:r>
    </w:p>
    <w:p w:rsidR="000744C6" w:rsidRDefault="007913E7">
      <w:pPr>
        <w:pStyle w:val="Heading1"/>
        <w:spacing w:before="121"/>
        <w:ind w:left="118" w:firstLine="0"/>
      </w:pPr>
      <w:r>
        <w:t>References</w:t>
      </w:r>
    </w:p>
    <w:p w:rsidR="00F329AC" w:rsidRPr="00F329AC" w:rsidRDefault="0087624A" w:rsidP="00F329AC">
      <w:pPr>
        <w:pStyle w:val="Bibliography"/>
        <w:rPr>
          <w:sz w:val="20"/>
        </w:rPr>
      </w:pPr>
      <w:r>
        <w:rPr>
          <w:sz w:val="20"/>
        </w:rPr>
        <w:fldChar w:fldCharType="begin"/>
      </w:r>
      <w:r>
        <w:rPr>
          <w:sz w:val="20"/>
        </w:rPr>
        <w:instrText xml:space="preserve"> ADDIN ZOTERO_BIBL {"uncited":[],"omitted":[],"custom":[]} CSL_BIBLIOGRAPHY </w:instrText>
      </w:r>
      <w:r>
        <w:rPr>
          <w:sz w:val="20"/>
        </w:rPr>
        <w:fldChar w:fldCharType="separate"/>
      </w:r>
      <w:r w:rsidR="00F329AC" w:rsidRPr="00F329AC">
        <w:rPr>
          <w:sz w:val="20"/>
        </w:rPr>
        <w:t>Hu, H.-S., Lin, F., Xu, L.-W., Gao, Y.-C., Guo, Z.-X., 2022. Peak Sliding Displacements of Sliding Base Structures Subjected to Earthquake Excitation. J. Struct. Eng. 148, 04021286. https://doi.org/10.1061/(ASCE)ST.1943-541X.0003276</w:t>
      </w:r>
    </w:p>
    <w:p w:rsidR="00F329AC" w:rsidRPr="00F329AC" w:rsidRDefault="00F329AC" w:rsidP="00F329AC">
      <w:pPr>
        <w:pStyle w:val="Bibliography"/>
        <w:rPr>
          <w:sz w:val="20"/>
        </w:rPr>
      </w:pPr>
      <w:r w:rsidRPr="00F329AC">
        <w:rPr>
          <w:sz w:val="20"/>
        </w:rPr>
        <w:t>Jangid, R. s., 2005. Computational numerical models for seismic response of structures isolated by sliding systems. Struct. Control Health Monit. 12, 117–137. https://doi.org/10.1002/stc.59</w:t>
      </w:r>
    </w:p>
    <w:p w:rsidR="00F329AC" w:rsidRPr="00F329AC" w:rsidRDefault="00F329AC" w:rsidP="00F329AC">
      <w:pPr>
        <w:pStyle w:val="Bibliography"/>
        <w:rPr>
          <w:sz w:val="20"/>
        </w:rPr>
      </w:pPr>
      <w:r w:rsidRPr="00F329AC">
        <w:rPr>
          <w:sz w:val="20"/>
        </w:rPr>
        <w:t>Leine, R., Nijmeijer, H., 2006. Dynamics and Bifurcations of Non-Smooth Mechanical Systems. Springer Science &amp; Business Media.</w:t>
      </w:r>
    </w:p>
    <w:p w:rsidR="00F329AC" w:rsidRPr="00F329AC" w:rsidRDefault="00F329AC" w:rsidP="00F329AC">
      <w:pPr>
        <w:pStyle w:val="Bibliography"/>
        <w:rPr>
          <w:sz w:val="20"/>
        </w:rPr>
      </w:pPr>
      <w:r w:rsidRPr="00F329AC">
        <w:rPr>
          <w:sz w:val="20"/>
        </w:rPr>
        <w:t>Nanda, R.P., Shrikhande, M., Agarwal, P., 2016. Low-Cost Base-Isolation System for Seismic Protection of Rural Buildings. Pract. Period. Struct. Des. Constr. 21, 04015001. https://doi.org/10.1061/(ASCE)SC.1943-5576.0000254</w:t>
      </w:r>
    </w:p>
    <w:p w:rsidR="00F329AC" w:rsidRPr="00F329AC" w:rsidRDefault="00F329AC" w:rsidP="00F329AC">
      <w:pPr>
        <w:pStyle w:val="Bibliography"/>
        <w:rPr>
          <w:sz w:val="20"/>
        </w:rPr>
      </w:pPr>
      <w:r w:rsidRPr="00F329AC">
        <w:rPr>
          <w:sz w:val="20"/>
        </w:rPr>
        <w:t>Spyrakos, C., Maniatakis, C., Koutromanos, I., 2009. Soil–structure interaction effects on base-isolated buildings founded on soil stratum. Eng. Struct. - ENG STRUCT 31, 729–737. https://doi.org/10.1016/j.engstruct.2008.10.012</w:t>
      </w:r>
    </w:p>
    <w:p w:rsidR="000744C6" w:rsidRDefault="0087624A" w:rsidP="0087624A">
      <w:pPr>
        <w:ind w:left="386" w:right="113" w:hanging="284"/>
        <w:jc w:val="both"/>
        <w:rPr>
          <w:sz w:val="20"/>
        </w:rPr>
      </w:pPr>
      <w:r>
        <w:rPr>
          <w:sz w:val="20"/>
        </w:rPr>
        <w:fldChar w:fldCharType="end"/>
      </w:r>
    </w:p>
    <w:p w:rsidR="000744C6" w:rsidRDefault="000744C6">
      <w:pPr>
        <w:jc w:val="both"/>
        <w:rPr>
          <w:sz w:val="20"/>
        </w:rPr>
        <w:sectPr w:rsidR="000744C6">
          <w:pgSz w:w="11910" w:h="16850"/>
          <w:pgMar w:top="1340" w:right="1300" w:bottom="280" w:left="1300" w:header="720" w:footer="720" w:gutter="0"/>
          <w:cols w:num="2" w:space="720" w:equalWidth="0">
            <w:col w:w="4655" w:space="40"/>
            <w:col w:w="4615"/>
          </w:cols>
        </w:sectPr>
      </w:pPr>
    </w:p>
    <w:p w:rsidR="000744C6" w:rsidRDefault="000744C6">
      <w:pPr>
        <w:spacing w:before="59"/>
        <w:ind w:left="3"/>
        <w:jc w:val="center"/>
        <w:rPr>
          <w:sz w:val="20"/>
        </w:rPr>
      </w:pPr>
    </w:p>
    <w:sectPr w:rsidR="000744C6">
      <w:type w:val="continuous"/>
      <w:pgSz w:w="11910" w:h="16850"/>
      <w:pgMar w:top="220" w:right="1300" w:bottom="280" w:left="13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459A" w:rsidRDefault="0008459A" w:rsidP="0087624A">
      <w:r>
        <w:separator/>
      </w:r>
    </w:p>
  </w:endnote>
  <w:endnote w:type="continuationSeparator" w:id="0">
    <w:p w:rsidR="0008459A" w:rsidRDefault="0008459A" w:rsidP="008762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459A" w:rsidRDefault="0008459A" w:rsidP="0087624A">
      <w:r>
        <w:separator/>
      </w:r>
    </w:p>
  </w:footnote>
  <w:footnote w:type="continuationSeparator" w:id="0">
    <w:p w:rsidR="0008459A" w:rsidRDefault="0008459A" w:rsidP="008762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594548"/>
    <w:multiLevelType w:val="hybridMultilevel"/>
    <w:tmpl w:val="4B962CA8"/>
    <w:lvl w:ilvl="0" w:tplc="7EE82B4C">
      <w:start w:val="1"/>
      <w:numFmt w:val="decimal"/>
      <w:lvlText w:val="%1."/>
      <w:lvlJc w:val="left"/>
      <w:pPr>
        <w:ind w:left="546" w:hanging="428"/>
      </w:pPr>
      <w:rPr>
        <w:rFonts w:ascii="Times New Roman" w:eastAsia="Times New Roman" w:hAnsi="Times New Roman" w:cs="Times New Roman" w:hint="default"/>
        <w:b/>
        <w:bCs/>
        <w:spacing w:val="0"/>
        <w:w w:val="100"/>
        <w:sz w:val="28"/>
        <w:szCs w:val="28"/>
        <w:lang w:val="en-US" w:eastAsia="en-US" w:bidi="ar-SA"/>
      </w:rPr>
    </w:lvl>
    <w:lvl w:ilvl="1" w:tplc="65921388">
      <w:numFmt w:val="bullet"/>
      <w:lvlText w:val="•"/>
      <w:lvlJc w:val="left"/>
      <w:pPr>
        <w:ind w:left="941" w:hanging="428"/>
      </w:pPr>
      <w:rPr>
        <w:rFonts w:hint="default"/>
        <w:lang w:val="en-US" w:eastAsia="en-US" w:bidi="ar-SA"/>
      </w:rPr>
    </w:lvl>
    <w:lvl w:ilvl="2" w:tplc="CB5ADD86">
      <w:numFmt w:val="bullet"/>
      <w:lvlText w:val="•"/>
      <w:lvlJc w:val="left"/>
      <w:pPr>
        <w:ind w:left="1342" w:hanging="428"/>
      </w:pPr>
      <w:rPr>
        <w:rFonts w:hint="default"/>
        <w:lang w:val="en-US" w:eastAsia="en-US" w:bidi="ar-SA"/>
      </w:rPr>
    </w:lvl>
    <w:lvl w:ilvl="3" w:tplc="1DD4C7DA">
      <w:numFmt w:val="bullet"/>
      <w:lvlText w:val="•"/>
      <w:lvlJc w:val="left"/>
      <w:pPr>
        <w:ind w:left="1744" w:hanging="428"/>
      </w:pPr>
      <w:rPr>
        <w:rFonts w:hint="default"/>
        <w:lang w:val="en-US" w:eastAsia="en-US" w:bidi="ar-SA"/>
      </w:rPr>
    </w:lvl>
    <w:lvl w:ilvl="4" w:tplc="792C234A">
      <w:numFmt w:val="bullet"/>
      <w:lvlText w:val="•"/>
      <w:lvlJc w:val="left"/>
      <w:pPr>
        <w:ind w:left="2145" w:hanging="428"/>
      </w:pPr>
      <w:rPr>
        <w:rFonts w:hint="default"/>
        <w:lang w:val="en-US" w:eastAsia="en-US" w:bidi="ar-SA"/>
      </w:rPr>
    </w:lvl>
    <w:lvl w:ilvl="5" w:tplc="52FCE494">
      <w:numFmt w:val="bullet"/>
      <w:lvlText w:val="•"/>
      <w:lvlJc w:val="left"/>
      <w:pPr>
        <w:ind w:left="2546" w:hanging="428"/>
      </w:pPr>
      <w:rPr>
        <w:rFonts w:hint="default"/>
        <w:lang w:val="en-US" w:eastAsia="en-US" w:bidi="ar-SA"/>
      </w:rPr>
    </w:lvl>
    <w:lvl w:ilvl="6" w:tplc="BCC41EE8">
      <w:numFmt w:val="bullet"/>
      <w:lvlText w:val="•"/>
      <w:lvlJc w:val="left"/>
      <w:pPr>
        <w:ind w:left="2948" w:hanging="428"/>
      </w:pPr>
      <w:rPr>
        <w:rFonts w:hint="default"/>
        <w:lang w:val="en-US" w:eastAsia="en-US" w:bidi="ar-SA"/>
      </w:rPr>
    </w:lvl>
    <w:lvl w:ilvl="7" w:tplc="EF648FAC">
      <w:numFmt w:val="bullet"/>
      <w:lvlText w:val="•"/>
      <w:lvlJc w:val="left"/>
      <w:pPr>
        <w:ind w:left="3349" w:hanging="428"/>
      </w:pPr>
      <w:rPr>
        <w:rFonts w:hint="default"/>
        <w:lang w:val="en-US" w:eastAsia="en-US" w:bidi="ar-SA"/>
      </w:rPr>
    </w:lvl>
    <w:lvl w:ilvl="8" w:tplc="61F6B46E">
      <w:numFmt w:val="bullet"/>
      <w:lvlText w:val="•"/>
      <w:lvlJc w:val="left"/>
      <w:pPr>
        <w:ind w:left="3751" w:hanging="428"/>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0744C6"/>
    <w:rsid w:val="000744C6"/>
    <w:rsid w:val="000744DB"/>
    <w:rsid w:val="0008459A"/>
    <w:rsid w:val="000D08CE"/>
    <w:rsid w:val="000D4B1D"/>
    <w:rsid w:val="000F6C31"/>
    <w:rsid w:val="00143551"/>
    <w:rsid w:val="001553B4"/>
    <w:rsid w:val="00286E21"/>
    <w:rsid w:val="002B650B"/>
    <w:rsid w:val="002F510E"/>
    <w:rsid w:val="0031376F"/>
    <w:rsid w:val="00315E0B"/>
    <w:rsid w:val="00344B34"/>
    <w:rsid w:val="00353EE2"/>
    <w:rsid w:val="003A5353"/>
    <w:rsid w:val="005706FC"/>
    <w:rsid w:val="005C0020"/>
    <w:rsid w:val="00627E44"/>
    <w:rsid w:val="006304B5"/>
    <w:rsid w:val="00637A60"/>
    <w:rsid w:val="00637FB8"/>
    <w:rsid w:val="006A6283"/>
    <w:rsid w:val="006A65CC"/>
    <w:rsid w:val="006D3811"/>
    <w:rsid w:val="00704C9B"/>
    <w:rsid w:val="007913E7"/>
    <w:rsid w:val="007C256F"/>
    <w:rsid w:val="007F1CDE"/>
    <w:rsid w:val="007F633C"/>
    <w:rsid w:val="00853166"/>
    <w:rsid w:val="00854DF1"/>
    <w:rsid w:val="00872B0C"/>
    <w:rsid w:val="0087624A"/>
    <w:rsid w:val="009E39E7"/>
    <w:rsid w:val="00B14026"/>
    <w:rsid w:val="00B161B4"/>
    <w:rsid w:val="00B80AD1"/>
    <w:rsid w:val="00BB229C"/>
    <w:rsid w:val="00BC352D"/>
    <w:rsid w:val="00C54398"/>
    <w:rsid w:val="00D00E4D"/>
    <w:rsid w:val="00DE5921"/>
    <w:rsid w:val="00EE3BD7"/>
    <w:rsid w:val="00EE6886"/>
    <w:rsid w:val="00EF6EF6"/>
    <w:rsid w:val="00F329A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5:docId w15:val="{EAF6D7D3-7108-4B20-AA50-1F128B0D8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546" w:hanging="429"/>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line="368" w:lineRule="exact"/>
      <w:ind w:left="439" w:right="360"/>
      <w:jc w:val="center"/>
    </w:pPr>
    <w:rPr>
      <w:b/>
      <w:bCs/>
      <w:sz w:val="32"/>
      <w:szCs w:val="32"/>
    </w:rPr>
  </w:style>
  <w:style w:type="paragraph" w:styleId="ListParagraph">
    <w:name w:val="List Paragraph"/>
    <w:basedOn w:val="Normal"/>
    <w:uiPriority w:val="1"/>
    <w:qFormat/>
    <w:pPr>
      <w:ind w:left="546" w:hanging="429"/>
    </w:pPr>
  </w:style>
  <w:style w:type="paragraph" w:customStyle="1" w:styleId="TableParagraph">
    <w:name w:val="Table Paragraph"/>
    <w:basedOn w:val="Normal"/>
    <w:uiPriority w:val="1"/>
    <w:qFormat/>
    <w:pPr>
      <w:spacing w:line="210" w:lineRule="exact"/>
    </w:pPr>
  </w:style>
  <w:style w:type="paragraph" w:styleId="BalloonText">
    <w:name w:val="Balloon Text"/>
    <w:basedOn w:val="Normal"/>
    <w:link w:val="BalloonTextChar"/>
    <w:uiPriority w:val="99"/>
    <w:semiHidden/>
    <w:unhideWhenUsed/>
    <w:rsid w:val="00EE3BD7"/>
    <w:rPr>
      <w:rFonts w:ascii="Tahoma" w:hAnsi="Tahoma" w:cs="Tahoma"/>
      <w:sz w:val="16"/>
      <w:szCs w:val="16"/>
    </w:rPr>
  </w:style>
  <w:style w:type="character" w:customStyle="1" w:styleId="BalloonTextChar">
    <w:name w:val="Balloon Text Char"/>
    <w:basedOn w:val="DefaultParagraphFont"/>
    <w:link w:val="BalloonText"/>
    <w:uiPriority w:val="99"/>
    <w:semiHidden/>
    <w:rsid w:val="00EE3BD7"/>
    <w:rPr>
      <w:rFonts w:ascii="Tahoma" w:eastAsia="Times New Roman" w:hAnsi="Tahoma" w:cs="Tahoma"/>
      <w:sz w:val="16"/>
      <w:szCs w:val="16"/>
    </w:rPr>
  </w:style>
  <w:style w:type="character" w:styleId="Hyperlink">
    <w:name w:val="Hyperlink"/>
    <w:basedOn w:val="DefaultParagraphFont"/>
    <w:uiPriority w:val="99"/>
    <w:unhideWhenUsed/>
    <w:rsid w:val="00286E21"/>
    <w:rPr>
      <w:color w:val="0000FF" w:themeColor="hyperlink"/>
      <w:u w:val="single"/>
    </w:rPr>
  </w:style>
  <w:style w:type="character" w:styleId="PlaceholderText">
    <w:name w:val="Placeholder Text"/>
    <w:basedOn w:val="DefaultParagraphFont"/>
    <w:uiPriority w:val="99"/>
    <w:semiHidden/>
    <w:rsid w:val="000F6C31"/>
    <w:rPr>
      <w:color w:val="808080"/>
    </w:rPr>
  </w:style>
  <w:style w:type="paragraph" w:styleId="Caption">
    <w:name w:val="caption"/>
    <w:basedOn w:val="Normal"/>
    <w:next w:val="Normal"/>
    <w:uiPriority w:val="35"/>
    <w:unhideWhenUsed/>
    <w:qFormat/>
    <w:rsid w:val="00BC352D"/>
    <w:pPr>
      <w:spacing w:after="200"/>
    </w:pPr>
    <w:rPr>
      <w:i/>
      <w:iCs/>
      <w:color w:val="1F497D" w:themeColor="text2"/>
      <w:sz w:val="18"/>
      <w:szCs w:val="18"/>
    </w:rPr>
  </w:style>
  <w:style w:type="paragraph" w:styleId="Bibliography">
    <w:name w:val="Bibliography"/>
    <w:basedOn w:val="Normal"/>
    <w:next w:val="Normal"/>
    <w:uiPriority w:val="37"/>
    <w:unhideWhenUsed/>
    <w:rsid w:val="0087624A"/>
    <w:pPr>
      <w:ind w:left="720" w:hanging="720"/>
    </w:pPr>
  </w:style>
  <w:style w:type="paragraph" w:styleId="FootnoteText">
    <w:name w:val="footnote text"/>
    <w:basedOn w:val="Normal"/>
    <w:link w:val="FootnoteTextChar"/>
    <w:uiPriority w:val="99"/>
    <w:semiHidden/>
    <w:unhideWhenUsed/>
    <w:rsid w:val="0087624A"/>
    <w:rPr>
      <w:sz w:val="20"/>
      <w:szCs w:val="20"/>
    </w:rPr>
  </w:style>
  <w:style w:type="character" w:customStyle="1" w:styleId="FootnoteTextChar">
    <w:name w:val="Footnote Text Char"/>
    <w:basedOn w:val="DefaultParagraphFont"/>
    <w:link w:val="FootnoteText"/>
    <w:uiPriority w:val="99"/>
    <w:semiHidden/>
    <w:rsid w:val="0087624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87624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shitij.shrestha@pcampus.edu.np"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075bce053.dipesh@pcampus.edu.np" TargetMode="External"/><Relationship Id="rId4" Type="http://schemas.openxmlformats.org/officeDocument/2006/relationships/settings" Target="settings.xml"/><Relationship Id="rId9" Type="http://schemas.openxmlformats.org/officeDocument/2006/relationships/hyperlink" Target="mailto:075bce083.nabin@pcampus.edu.np"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DCDEF-6202-4408-9E40-CC7EA673A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2</Pages>
  <Words>2583</Words>
  <Characters>14725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2nd National Conference</vt:lpstr>
    </vt:vector>
  </TitlesOfParts>
  <Company/>
  <LinksUpToDate>false</LinksUpToDate>
  <CharactersWithSpaces>17274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2nd National Conference</dc:title>
  <dc:creator>Khwopa</dc:creator>
  <cp:lastModifiedBy>acer</cp:lastModifiedBy>
  <cp:revision>20</cp:revision>
  <cp:lastPrinted>2023-01-04T07:51:00Z</cp:lastPrinted>
  <dcterms:created xsi:type="dcterms:W3CDTF">2022-12-09T07:06:00Z</dcterms:created>
  <dcterms:modified xsi:type="dcterms:W3CDTF">2023-01-04T07:51:00Z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2021-12-20T00:00:00Z</vt:filetime>
  </property>
  <property fmtid="{D5CDD505-2E9C-101B-9397-08002B2CF9AE}" pid="3" name="Creator">
    <vt:lpwstr>Microsoft® Word 2010</vt:lpwstr>
  </property>
  <property fmtid="{D5CDD505-2E9C-101B-9397-08002B2CF9AE}" pid="4" name="LastSaved">
    <vt:filetime>2022-12-09T00:00:00Z</vt:filetime>
  </property>
  <property fmtid="{D5CDD505-2E9C-101B-9397-08002B2CF9AE}" pid="5" name="ZOTERO_PREF_1">
    <vt:lpwstr>&lt;data data-version="3" zotero-version="6.0.19"&gt;&lt;session id="Ne2WrVRI"/&gt;&lt;style id="http://www.zotero.org/styles/elsevier-harvard" hasBibliography="1" bibliographyStyleHasBeenSet="1"/&gt;&lt;prefs&gt;&lt;pref name="fieldType" value="Field"/&gt;&lt;pref name="automaticJournal</vt:lpwstr>
  </property>
  <property fmtid="{D5CDD505-2E9C-101B-9397-08002B2CF9AE}" pid="6" name="ZOTERO_PREF_2">
    <vt:lpwstr>Abbreviations" value="true"/&gt;&lt;/prefs&gt;&lt;/data&gt;</vt:lpwstr>
  </property>
</Properties>
</file>