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eanzgpbxz9w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Administrative tool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be run on any node in a cluster with the same results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8zg0mexjefa" w:id="1"/>
      <w:bookmarkEnd w:id="1"/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nodetool status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 - 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 - normal 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 - Joining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 - down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nodetool status [keyspace]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tokens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owns-effective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indicates the percentage of all tokens in a keyspace that a given node manages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a keyspace has replication factor 2, and there are only 2 nodes in the cluster, then each node will have a complete copy of the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l7dx4vtmww" w:id="2"/>
      <w:bookmarkEnd w:id="2"/>
      <w:r w:rsidDel="00000000" w:rsidR="00000000" w:rsidRPr="00000000">
        <w:rPr>
          <w:rtl w:val="0"/>
        </w:rPr>
        <w:t xml:space="preserve">repair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Maintenance operation that will fix inconsistencies in all data, not just data being read.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be run every once in awhile.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tzimhvnzfpj" w:id="3"/>
      <w:bookmarkEnd w:id="3"/>
      <w:r w:rsidDel="00000000" w:rsidR="00000000" w:rsidRPr="00000000">
        <w:rPr>
          <w:rtl w:val="0"/>
        </w:rPr>
        <w:t xml:space="preserve">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nodetool 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displays list of tokenranges across 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row represents a virtual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col is ip where the vnode belongs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last col is token value - the end of the range owned by this vnode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nodetool describering pluralsight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pluralsight is the name of a keyspace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row of output represents a range of tokens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output is more explicit than nodetool 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keyspace, can indicate where each copy of a token range will be stored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