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yd1jw6cfbj5" w:id="0"/>
      <w:bookmarkEnd w:id="0"/>
      <w:r w:rsidDel="00000000" w:rsidR="00000000" w:rsidRPr="00000000">
        <w:rPr>
          <w:rtl w:val="0"/>
        </w:rPr>
        <w:t xml:space="preserve">fIndexes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Help with query performance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Without secondary indexes, clients must either skip the where clause, which forces cassandra to traverse all nodes, or include a where clause containing a partition key.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Secondary index allow you to query based on more than just partition key and clustering columns.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index users_company ON users(company)l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Indexes can also be created on collections.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table users add tags set&lt;varchar&gt;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naming the index is not required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index on users(tags);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xjrq1le0c3v" w:id="1"/>
      <w:bookmarkEnd w:id="1"/>
      <w:r w:rsidDel="00000000" w:rsidR="00000000" w:rsidRPr="00000000">
        <w:rPr>
          <w:rtl w:val="0"/>
        </w:rPr>
        <w:t xml:space="preserve">Querying indexed collections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from users where tags CONTAINS ‘java’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Two forms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index on a collection column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allows use of CONTAINS in select statements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Works for all three collection types (set, list, map)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map, CONTAINS matches the values of a 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you want to match on the keys of a map, use the KEYS keyword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create index on foo (KEYS(bar));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and when querying, use the CONTAINS KEY construct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select * from doo where CONTAINS KEY 123;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biwjqhag6ni" w:id="2"/>
      <w:bookmarkEnd w:id="2"/>
      <w:r w:rsidDel="00000000" w:rsidR="00000000" w:rsidRPr="00000000">
        <w:rPr>
          <w:rtl w:val="0"/>
        </w:rPr>
        <w:t xml:space="preserve">When to avoid secondary indexes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Building indexes over columns with lots of distinct values (high cardinality)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High or very low cardinality columns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Batching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Compare and set operations using transactions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plg58n6d7z2" w:id="3"/>
      <w:bookmarkEnd w:id="3"/>
      <w:r w:rsidDel="00000000" w:rsidR="00000000" w:rsidRPr="00000000">
        <w:rPr>
          <w:rtl w:val="0"/>
        </w:rPr>
        <w:t xml:space="preserve">Primary vs Secondary indexes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primary indexes are stored globally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secondary indexes are stored locally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querying by primary key, every node knows which machine to go to for the record.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querying by secondary index, every machine in the cluster must be read from.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Denormalized index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nllj9gah0zv" w:id="4"/>
      <w:bookmarkEnd w:id="4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