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Underlying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Must be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Must be scalable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Must be distributed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Must be persistent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Cluster is made up of multiple distributed servers, each of which is called a broker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atomic unit of data in Kafka is the Mesage.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is represented by a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Messages contain a header and a byte[] payload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storage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Messages published to a topic are stored in a log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 files are themselves partitioned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 partitioning enables…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data storage to grow beyond what could otherwise be stored on a single broker.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increased throughput as contention for data access is reduced since data is stored in multiple places, reducing concurrent access to any single log files, instead distributing access across the log partitions.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Each log partition is controlled by a leader broker, with a configurable number of followers acting as backups in case the leader fails.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Each log partition maps to a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Each log directory may consist of multiple log segments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For each log segment, there will be an index file and a data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Each log file consists of a sequence of log entries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Each log entry consists of an integer 1+4+N specifying the length of the message payload followed by the 1+4+N-byte payload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log entry length accounts for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1 byte for magic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4 bytes crc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 bytes for the actual message 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Each message (log-entry) is identified by an 8-byte id representing the offset of the start of this message in the stream of all messages ever sent to the partition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 files are named according to the offset of the first message contained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Replication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Broker discovery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Writing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Data is written serially to the end of log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Data is flushed to disk based on configuration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How log writes are configured determines the possible data loss in the event of a crash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more frequently data is flushed to disk, the less amount of data can be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Log files are rolled over according to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Reading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Reading consists of requesting a message to start reading at, determining which log segment the message is contained in, and then reading a chunk of 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message is indicated by the 8-byte offset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chunk-size is based on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event a message isn’t fully contained in the chunk, the read is retried doubling the chunk-size.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may also be read on a latest published basis, which removes the message-id aspect.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 client is bundled with Kafka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Clients may act either as producers or consumers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Clients specify which partition to write data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Partitions can be decided upon based on some type of load-balancing algorithm or based on a more semantic logic.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a semantic partitioning strategy allows consumers to deterministically know which server to request data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Kafka allows clients to determine which broker is the leader for a given partition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Kafka supports batching of writes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Consumers issue fetch requests to partition leaders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Fetch request indicates log offset of first message desired.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Kafka provides a chunk back to client starting at the requested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Push / Pull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Producer clients push messages to Kafka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Consumer clients pull messages from kafka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