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ABC7" w14:textId="77777777" w:rsidR="009230EC" w:rsidRPr="00230007" w:rsidRDefault="009230EC" w:rsidP="0050755E">
      <w:pPr>
        <w:spacing w:after="0" w:line="240" w:lineRule="auto"/>
        <w:ind w:firstLine="708"/>
        <w:jc w:val="center"/>
      </w:pPr>
      <w:r w:rsidRPr="00230007">
        <w:t>Федеральное государственное автономное</w:t>
      </w:r>
    </w:p>
    <w:p w14:paraId="111EE18A" w14:textId="77777777" w:rsidR="009230EC" w:rsidRPr="00230007" w:rsidRDefault="009230EC" w:rsidP="00E50C54">
      <w:pPr>
        <w:spacing w:after="0" w:line="240" w:lineRule="auto"/>
        <w:jc w:val="center"/>
      </w:pPr>
      <w:r w:rsidRPr="00230007">
        <w:t>образовательное учреждение высшего образования</w:t>
      </w:r>
    </w:p>
    <w:p w14:paraId="68BF225A" w14:textId="77777777" w:rsidR="009230EC" w:rsidRPr="00230007" w:rsidRDefault="009230EC" w:rsidP="00E50C54">
      <w:pPr>
        <w:spacing w:after="0" w:line="240" w:lineRule="auto"/>
        <w:jc w:val="center"/>
      </w:pPr>
      <w:r w:rsidRPr="00230007">
        <w:t>«Волгоградский государственный университет»</w:t>
      </w:r>
    </w:p>
    <w:p w14:paraId="0795D1E2" w14:textId="77777777" w:rsidR="009230EC" w:rsidRPr="00230007" w:rsidRDefault="009230EC" w:rsidP="00E50C54">
      <w:pPr>
        <w:spacing w:after="0" w:line="240" w:lineRule="auto"/>
        <w:jc w:val="center"/>
      </w:pPr>
      <w:r w:rsidRPr="00230007">
        <w:t>институт Математики и информационных технологий</w:t>
      </w:r>
    </w:p>
    <w:p w14:paraId="19A16FE5" w14:textId="77777777" w:rsidR="00E50C54" w:rsidRPr="00230007" w:rsidRDefault="009230EC" w:rsidP="00E50C54">
      <w:pPr>
        <w:spacing w:after="0" w:line="240" w:lineRule="auto"/>
        <w:jc w:val="center"/>
      </w:pPr>
      <w:r w:rsidRPr="00230007">
        <w:t>кафедра Информационных систем и компьютерного моделирования</w:t>
      </w:r>
    </w:p>
    <w:p w14:paraId="614E5EC9" w14:textId="77777777" w:rsidR="00E50C54" w:rsidRPr="00230007" w:rsidRDefault="00E50C54" w:rsidP="00E50C54">
      <w:pPr>
        <w:spacing w:after="0" w:line="240" w:lineRule="auto"/>
        <w:jc w:val="center"/>
      </w:pPr>
    </w:p>
    <w:p w14:paraId="16972083" w14:textId="77777777" w:rsidR="00E50C54" w:rsidRPr="00230007" w:rsidRDefault="00E50C54" w:rsidP="00E50C54">
      <w:pPr>
        <w:spacing w:after="0" w:line="240" w:lineRule="auto"/>
        <w:jc w:val="center"/>
      </w:pPr>
    </w:p>
    <w:p w14:paraId="3EC6ECC0" w14:textId="77777777" w:rsidR="00E50C54" w:rsidRPr="00230007" w:rsidRDefault="00E50C54" w:rsidP="00E6457E">
      <w:pPr>
        <w:spacing w:after="0" w:line="240" w:lineRule="auto"/>
        <w:ind w:left="5245"/>
        <w:rPr>
          <w:rFonts w:eastAsia="Times New Roman"/>
          <w:szCs w:val="28"/>
          <w:lang w:eastAsia="ru-RU"/>
        </w:rPr>
      </w:pPr>
      <w:r w:rsidRPr="00230007">
        <w:rPr>
          <w:rFonts w:eastAsia="Times New Roman"/>
          <w:szCs w:val="28"/>
          <w:lang w:eastAsia="ru-RU"/>
        </w:rPr>
        <w:t>УТВЕРЖДАЮ</w:t>
      </w:r>
    </w:p>
    <w:p w14:paraId="70754D33" w14:textId="77777777" w:rsidR="00E50C54" w:rsidRPr="00230007" w:rsidRDefault="00E50C54" w:rsidP="00E6457E">
      <w:pPr>
        <w:spacing w:after="0" w:line="240" w:lineRule="auto"/>
        <w:ind w:left="5245"/>
        <w:rPr>
          <w:rFonts w:eastAsia="Times New Roman"/>
          <w:szCs w:val="28"/>
          <w:lang w:eastAsia="ru-RU"/>
        </w:rPr>
      </w:pPr>
      <w:r w:rsidRPr="00230007">
        <w:rPr>
          <w:rFonts w:eastAsia="Times New Roman"/>
          <w:szCs w:val="28"/>
          <w:lang w:eastAsia="ru-RU"/>
        </w:rPr>
        <w:t>Руководитель направления</w:t>
      </w:r>
    </w:p>
    <w:p w14:paraId="5A718693" w14:textId="4C36F57C" w:rsidR="00E50C54" w:rsidRPr="00230007" w:rsidRDefault="00E50C54" w:rsidP="00C50628">
      <w:pPr>
        <w:spacing w:after="0" w:line="240" w:lineRule="auto"/>
        <w:ind w:left="5245"/>
        <w:rPr>
          <w:rFonts w:eastAsia="Times New Roman"/>
          <w:szCs w:val="28"/>
          <w:lang w:eastAsia="ru-RU"/>
        </w:rPr>
      </w:pPr>
      <w:r w:rsidRPr="00230007">
        <w:rPr>
          <w:rFonts w:eastAsia="Times New Roman"/>
          <w:szCs w:val="28"/>
          <w:lang w:eastAsia="ru-RU"/>
        </w:rPr>
        <w:t>09.03.0</w:t>
      </w:r>
      <w:r w:rsidR="00C50628" w:rsidRPr="00230007">
        <w:rPr>
          <w:rFonts w:eastAsia="Times New Roman"/>
          <w:szCs w:val="28"/>
          <w:lang w:eastAsia="ru-RU"/>
        </w:rPr>
        <w:t>4</w:t>
      </w:r>
      <w:r w:rsidRPr="00230007">
        <w:rPr>
          <w:rFonts w:eastAsia="Times New Roman"/>
          <w:szCs w:val="28"/>
          <w:lang w:eastAsia="ru-RU"/>
        </w:rPr>
        <w:t xml:space="preserve"> </w:t>
      </w:r>
      <w:r w:rsidR="00C50628" w:rsidRPr="00230007">
        <w:rPr>
          <w:rFonts w:eastAsia="Times New Roman"/>
          <w:szCs w:val="28"/>
          <w:lang w:eastAsia="ru-RU"/>
        </w:rPr>
        <w:t>Программная инженерия</w:t>
      </w:r>
    </w:p>
    <w:p w14:paraId="5044965C" w14:textId="77777777" w:rsidR="00E6457E" w:rsidRPr="00230007" w:rsidRDefault="00E6457E" w:rsidP="00E6457E">
      <w:pPr>
        <w:spacing w:after="0" w:line="240" w:lineRule="auto"/>
        <w:ind w:left="5245"/>
        <w:rPr>
          <w:rFonts w:eastAsia="Times New Roman"/>
          <w:szCs w:val="28"/>
          <w:lang w:eastAsia="ru-RU"/>
        </w:rPr>
      </w:pPr>
    </w:p>
    <w:p w14:paraId="724922E8" w14:textId="760A6921" w:rsidR="00E50C54" w:rsidRPr="00230007" w:rsidRDefault="00E50C54" w:rsidP="00E50C54">
      <w:pPr>
        <w:spacing w:after="0" w:line="360" w:lineRule="auto"/>
        <w:ind w:left="5245"/>
        <w:rPr>
          <w:rFonts w:eastAsia="Times New Roman"/>
          <w:szCs w:val="28"/>
          <w:lang w:eastAsia="ru-RU"/>
        </w:rPr>
      </w:pPr>
      <w:r w:rsidRPr="00230007">
        <w:rPr>
          <w:rFonts w:eastAsia="Times New Roman"/>
          <w:szCs w:val="28"/>
          <w:lang w:eastAsia="ru-RU"/>
        </w:rPr>
        <w:t xml:space="preserve">________________ </w:t>
      </w:r>
      <w:r w:rsidR="00C50628" w:rsidRPr="00230007">
        <w:rPr>
          <w:rFonts w:eastAsia="Times New Roman"/>
          <w:szCs w:val="28"/>
          <w:lang w:eastAsia="ru-RU"/>
        </w:rPr>
        <w:t>Н.Н. Конобеева</w:t>
      </w:r>
    </w:p>
    <w:p w14:paraId="7ACD162A" w14:textId="77777777" w:rsidR="00E50C54" w:rsidRPr="00230007" w:rsidRDefault="00E50C54" w:rsidP="00E50C54">
      <w:pPr>
        <w:spacing w:after="0" w:line="360" w:lineRule="auto"/>
        <w:ind w:left="5245"/>
        <w:rPr>
          <w:rFonts w:eastAsia="Times New Roman"/>
          <w:szCs w:val="28"/>
          <w:lang w:eastAsia="ru-RU"/>
        </w:rPr>
      </w:pPr>
      <w:r w:rsidRPr="00230007">
        <w:rPr>
          <w:rFonts w:eastAsia="Times New Roman"/>
          <w:szCs w:val="28"/>
          <w:lang w:eastAsia="ru-RU"/>
        </w:rPr>
        <w:t>«____» ________________ 20____ г.</w:t>
      </w:r>
    </w:p>
    <w:p w14:paraId="28D83B13" w14:textId="77777777" w:rsidR="00E50C54" w:rsidRPr="00230007" w:rsidRDefault="00E50C54" w:rsidP="00E50C54">
      <w:pPr>
        <w:jc w:val="center"/>
      </w:pPr>
    </w:p>
    <w:p w14:paraId="0A5F1E73" w14:textId="77777777" w:rsidR="009230EC" w:rsidRPr="00230007" w:rsidRDefault="009230EC" w:rsidP="00E50C54">
      <w:pPr>
        <w:jc w:val="center"/>
      </w:pPr>
      <w:r w:rsidRPr="00230007">
        <w:t>ЗАДАНИЕ</w:t>
      </w:r>
    </w:p>
    <w:p w14:paraId="7E1FCD62" w14:textId="77777777" w:rsidR="009230EC" w:rsidRPr="00230007" w:rsidRDefault="009230EC" w:rsidP="00E50C54">
      <w:pPr>
        <w:spacing w:after="0"/>
        <w:jc w:val="center"/>
      </w:pPr>
      <w:r w:rsidRPr="00230007">
        <w:t>на выполнение выпускной квалификационной работы</w:t>
      </w:r>
    </w:p>
    <w:p w14:paraId="25171DDE" w14:textId="06284FF0" w:rsidR="00DD55F2" w:rsidRPr="00230007" w:rsidRDefault="00230007" w:rsidP="00E50C54">
      <w:pPr>
        <w:spacing w:after="0"/>
        <w:jc w:val="center"/>
      </w:pPr>
      <w:r w:rsidRPr="00230007">
        <w:rPr>
          <w:highlight w:val="yellow"/>
        </w:rPr>
        <w:t>Чеботареву Андрею Михайловичу</w:t>
      </w:r>
      <w:r w:rsidR="009230EC" w:rsidRPr="00230007">
        <w:t xml:space="preserve"> </w:t>
      </w:r>
      <w:r w:rsidR="00435E57" w:rsidRPr="00230007">
        <w:t>(группа</w:t>
      </w:r>
      <w:r w:rsidR="009230EC" w:rsidRPr="00230007">
        <w:t xml:space="preserve"> </w:t>
      </w:r>
      <w:r w:rsidR="00C50628" w:rsidRPr="00230007">
        <w:t>ПРИ</w:t>
      </w:r>
      <w:r w:rsidR="009230EC" w:rsidRPr="00230007">
        <w:t>-1</w:t>
      </w:r>
      <w:r w:rsidR="00A800DB" w:rsidRPr="00230007">
        <w:t>7</w:t>
      </w:r>
      <w:r w:rsidR="00435E57" w:rsidRPr="00230007">
        <w:t>1)</w:t>
      </w:r>
    </w:p>
    <w:p w14:paraId="02E18B78" w14:textId="77777777" w:rsidR="00435E57" w:rsidRPr="00230007" w:rsidRDefault="00435E57" w:rsidP="006C4B1C">
      <w:pPr>
        <w:spacing w:after="0"/>
      </w:pPr>
    </w:p>
    <w:p w14:paraId="21B02874" w14:textId="003BE37B" w:rsidR="001938A3" w:rsidRPr="00230007" w:rsidRDefault="001938A3" w:rsidP="001938A3">
      <w:pPr>
        <w:pStyle w:val="a4"/>
        <w:numPr>
          <w:ilvl w:val="0"/>
          <w:numId w:val="3"/>
        </w:numPr>
        <w:spacing w:after="0"/>
        <w:jc w:val="both"/>
      </w:pPr>
      <w:r w:rsidRPr="00230007">
        <w:t xml:space="preserve">Тема: </w:t>
      </w:r>
      <w:r w:rsidR="00230007" w:rsidRPr="00230007">
        <w:rPr>
          <w:highlight w:val="yellow"/>
        </w:rPr>
        <w:t>Цифровой двойник установки электроплазменной полировки металлических изделий</w:t>
      </w:r>
      <w:r w:rsidRPr="00230007">
        <w:rPr>
          <w:highlight w:val="yellow"/>
        </w:rPr>
        <w:t>.</w:t>
      </w:r>
    </w:p>
    <w:p w14:paraId="7E0CA3E9" w14:textId="5CFC1EA4" w:rsidR="001938A3" w:rsidRPr="00230007" w:rsidRDefault="001938A3" w:rsidP="001938A3">
      <w:pPr>
        <w:pStyle w:val="a4"/>
        <w:numPr>
          <w:ilvl w:val="0"/>
          <w:numId w:val="3"/>
        </w:numPr>
        <w:spacing w:after="0"/>
        <w:jc w:val="both"/>
      </w:pPr>
      <w:r w:rsidRPr="00230007">
        <w:t>Цель:</w:t>
      </w:r>
      <w:r w:rsidR="00E6457E" w:rsidRPr="00230007">
        <w:t xml:space="preserve"> </w:t>
      </w:r>
      <w:r w:rsidR="00DA5089" w:rsidRPr="00DA5089">
        <w:rPr>
          <w:highlight w:val="yellow"/>
        </w:rPr>
        <w:t xml:space="preserve">Разработать цифровой двойник процессов, имитирующих работу установки электроплазменной полировки металлических изделий, для последующей оптимизации </w:t>
      </w:r>
      <w:r w:rsidR="00DA5089" w:rsidRPr="00DA5089">
        <w:rPr>
          <w:szCs w:val="28"/>
          <w:highlight w:val="yellow"/>
          <w:lang w:val="en-US"/>
        </w:rPr>
        <w:t>SLA</w:t>
      </w:r>
      <w:r w:rsidR="00DA5089" w:rsidRPr="00DA5089">
        <w:rPr>
          <w:szCs w:val="28"/>
          <w:highlight w:val="yellow"/>
        </w:rPr>
        <w:t xml:space="preserve"> технологии, используемой в 3</w:t>
      </w:r>
      <w:r w:rsidR="00DA5089" w:rsidRPr="00DA5089">
        <w:rPr>
          <w:szCs w:val="28"/>
          <w:highlight w:val="yellow"/>
          <w:lang w:val="en-US"/>
        </w:rPr>
        <w:t>D</w:t>
      </w:r>
      <w:r w:rsidR="00DA5089" w:rsidRPr="00DA5089">
        <w:rPr>
          <w:szCs w:val="28"/>
          <w:highlight w:val="yellow"/>
        </w:rPr>
        <w:t xml:space="preserve"> печати</w:t>
      </w:r>
      <w:r w:rsidR="00E6457E" w:rsidRPr="00230007">
        <w:rPr>
          <w:highlight w:val="yellow"/>
        </w:rPr>
        <w:t>.</w:t>
      </w:r>
    </w:p>
    <w:p w14:paraId="45F91436" w14:textId="77777777" w:rsidR="001938A3" w:rsidRPr="00230007" w:rsidRDefault="001938A3" w:rsidP="001938A3">
      <w:pPr>
        <w:pStyle w:val="a4"/>
        <w:numPr>
          <w:ilvl w:val="0"/>
          <w:numId w:val="3"/>
        </w:numPr>
        <w:spacing w:after="0"/>
        <w:jc w:val="both"/>
      </w:pPr>
      <w:r w:rsidRPr="00230007">
        <w:t>Основные задачи:</w:t>
      </w:r>
    </w:p>
    <w:p w14:paraId="6E86A51D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14:paraId="3E792BC4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Выбрать метод управления своим проектом по созданию цифрового двойника процесса работы установки электроплазменной полировки металлических изделий, созданных методом металлической 3D печати. Определить целевые этапы и основные направления работ в рамках выполнения выпускной квалификационной работы. Разработать календарный график выполнения ВКР на основе диаграммы Ганта для планирования и управления задачами.</w:t>
      </w:r>
    </w:p>
    <w:p w14:paraId="4990DD23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Написать обзор по предметной области исследования выпускной квалификационной работы с использованием компьютерных и сетевых технологий, основываясь на научной, учебной и учебно-методической </w:t>
      </w:r>
      <w:r w:rsidRPr="00DA5089">
        <w:rPr>
          <w:highlight w:val="yellow"/>
        </w:rPr>
        <w:lastRenderedPageBreak/>
        <w:t>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библиографическим базам Scopus, WoS, elibrary, ResearchGate, ADS, ЭБС Znanium, Юрайт, Лань, Book.ru, IPRBooks.ru и др.  Научно-исследовательский обзор должен включать описания технологии SLA процесса 3D печати, особенностей работы установки электроплазменной полировки металлических изделий, примеров создания цифровых двойников в других близких областях.</w:t>
      </w:r>
    </w:p>
    <w:p w14:paraId="558066DF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Подробно изучить свою предметную область, связанную с технологиями селективного лазерного плавления (SLM, Selective Laser Melting), принципами работы, особенностями 3D-печати металлом, последующей обработкой поверхности изделия. </w:t>
      </w:r>
    </w:p>
    <w:p w14:paraId="39F76D14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Выявить и провести критический анализ проблемных ситуаций, связанных с программной реализацией цифрового двойника. Проводить консультации с главным инженером ООО «Теленово» Радченко В.П., ст. препод. Титовым А.В. по вопросам предметной области.</w:t>
      </w:r>
    </w:p>
    <w:p w14:paraId="6420599A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Составить подробный план отчета по проекту (расширенное содержание) и согласовать его с научным руководителем, как с экспертом. </w:t>
      </w:r>
    </w:p>
    <w:p w14:paraId="481A51C5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Изучить математическое и программное обеспечение для автоматизированного проектирования. </w:t>
      </w:r>
    </w:p>
    <w:p w14:paraId="34BFD0D4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Построить информационные модели цифрового двойника.</w:t>
      </w:r>
    </w:p>
    <w:p w14:paraId="3DBB1BD3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Описать математические модели, лежащие в основе физических явлений, определяющих технологические процессы. Описать программные пакеты для моделирования физических процессов, в том числе отечественного производства (FlowVision CFD и др.). Определить подзадачи, требующие модификации программных средств.</w:t>
      </w:r>
    </w:p>
    <w:p w14:paraId="4E273A14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Участвовать совместно с руководителем в анализе предметной области, выборе программных средств, результатов математического моделирования и тестирования работы компонент цифрового двойника. </w:t>
      </w:r>
    </w:p>
    <w:p w14:paraId="51EBF598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Провести анализ выбора инструментальных сред проектирования и разработки программного и аппаратного обеспечения, необходимых для выполнения ВКР.</w:t>
      </w:r>
    </w:p>
    <w:p w14:paraId="6439AA5F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Инсталлировать программное и аппаратное обеспечение, используемое при выполнении выпускной квалификационной работы. Настроить программно-аппаратные комплексы и пакеты программ, необходимые для выполнения ВКР, в том числе отечественного производства.</w:t>
      </w:r>
    </w:p>
    <w:p w14:paraId="1349FCC5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Разработать или модифицировать алгоритмы, необходимые для программной реализации цифрового двойника с использованием современных методов и технологий информатики и программирования.</w:t>
      </w:r>
    </w:p>
    <w:p w14:paraId="1872C784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lastRenderedPageBreak/>
        <w:t xml:space="preserve">Провести этап  проектирования модулей, лежащих в основе цифрового двойника, разработав соответствующие концептуальную, функциональную и логическую модели. Учитывать требования информационной безопасности. </w:t>
      </w:r>
    </w:p>
    <w:p w14:paraId="065CE467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Провести интеграцию программных модулей и компонентов, проверить их работоспособность.</w:t>
      </w:r>
    </w:p>
    <w:p w14:paraId="34B307E7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Разработать план тестирования, провести тестирование отдельных компонент программного обеспечения и цифрового двойника в целом.  </w:t>
      </w:r>
    </w:p>
    <w:p w14:paraId="53430381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Разработать план проведения вычислительных экспериментов физических процессов, определяющих работу установки и провести их с последующей обработкой результатов моделирования.</w:t>
      </w:r>
    </w:p>
    <w:p w14:paraId="4CEA5CDB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>Подготовить графический материал для отчета по ВКР.</w:t>
      </w:r>
    </w:p>
    <w:p w14:paraId="55F9141A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Предложить план последующей модификации цифрового двойника. </w:t>
      </w:r>
    </w:p>
    <w:p w14:paraId="4F84FB6B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Написать текст отчета в соответствии с заданием. Отчет по ВКР должен быть подготовлен с использованием набора макрорасширений LATEX для компьютерной верстки документа с использованием стандартных макросов и программирования новых макросов при необходимости. При работе  с библиографическими данными желательно использовать пакет BibTeX. 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 </w:t>
      </w:r>
    </w:p>
    <w:p w14:paraId="3BAE06C5" w14:textId="77777777" w:rsidR="00DA5089" w:rsidRPr="00DA5089" w:rsidRDefault="00DA5089" w:rsidP="006D6A19">
      <w:pPr>
        <w:pStyle w:val="a4"/>
        <w:numPr>
          <w:ilvl w:val="0"/>
          <w:numId w:val="8"/>
        </w:numPr>
        <w:spacing w:after="0"/>
        <w:ind w:left="641" w:hanging="284"/>
        <w:jc w:val="both"/>
        <w:rPr>
          <w:highlight w:val="yellow"/>
        </w:rPr>
      </w:pPr>
      <w:r w:rsidRPr="00DA5089">
        <w:rPr>
          <w:highlight w:val="yellow"/>
        </w:rPr>
        <w:t xml:space="preserve">Подготовить презентацию и доклад по результатам выполнения выпускной квалификационной работы. </w:t>
      </w:r>
    </w:p>
    <w:p w14:paraId="0A1F7EC3" w14:textId="77777777" w:rsidR="00E6457E" w:rsidRPr="006D6A19" w:rsidRDefault="003D301E" w:rsidP="006D6A19">
      <w:pPr>
        <w:pStyle w:val="a4"/>
        <w:numPr>
          <w:ilvl w:val="0"/>
          <w:numId w:val="8"/>
        </w:numPr>
        <w:spacing w:after="0"/>
        <w:ind w:left="641" w:hanging="284"/>
        <w:jc w:val="both"/>
      </w:pPr>
      <w:r w:rsidRPr="006D6A19">
        <w:t>В ходе выполнения выпускной квалификационной работы должно быть продемонстрировано владение следующими компетенциями</w:t>
      </w:r>
      <w:r w:rsidR="00E6457E" w:rsidRPr="006D6A19">
        <w:t>:</w:t>
      </w:r>
    </w:p>
    <w:p w14:paraId="754EB888" w14:textId="2F010103" w:rsidR="00E6457E" w:rsidRPr="00230007" w:rsidRDefault="00E6457E" w:rsidP="006D6A19">
      <w:pPr>
        <w:spacing w:after="0"/>
        <w:ind w:left="709"/>
        <w:jc w:val="both"/>
      </w:pPr>
      <w:r w:rsidRPr="00230007">
        <w:t>УК-1</w:t>
      </w:r>
      <w:r w:rsidR="003D301E" w:rsidRPr="00230007">
        <w:t>.</w:t>
      </w:r>
      <w:r w:rsidRPr="00230007">
        <w:t xml:space="preserve"> </w:t>
      </w:r>
      <w:r w:rsidR="00C50628" w:rsidRPr="00230007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230007">
        <w:t>;</w:t>
      </w:r>
    </w:p>
    <w:p w14:paraId="680A345D" w14:textId="2148F264" w:rsidR="00E6457E" w:rsidRPr="00230007" w:rsidRDefault="00E6457E" w:rsidP="006D6A19">
      <w:pPr>
        <w:spacing w:after="0"/>
        <w:ind w:left="709"/>
        <w:jc w:val="both"/>
      </w:pPr>
      <w:r w:rsidRPr="00230007">
        <w:t>УК-2</w:t>
      </w:r>
      <w:r w:rsidR="003D301E" w:rsidRPr="00230007">
        <w:t>.</w:t>
      </w:r>
      <w:r w:rsidRPr="00230007">
        <w:t xml:space="preserve"> </w:t>
      </w:r>
      <w:r w:rsidR="00C50628" w:rsidRPr="00230007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="003D301E" w:rsidRPr="00230007">
        <w:t>;</w:t>
      </w:r>
    </w:p>
    <w:p w14:paraId="6A87B078" w14:textId="3F3B710C" w:rsidR="00E6457E" w:rsidRPr="00230007" w:rsidRDefault="00E6457E" w:rsidP="006D6A19">
      <w:pPr>
        <w:spacing w:after="0"/>
        <w:ind w:left="709"/>
        <w:jc w:val="both"/>
      </w:pPr>
      <w:r w:rsidRPr="00230007">
        <w:t>УК-3</w:t>
      </w:r>
      <w:r w:rsidR="003D301E" w:rsidRPr="00230007">
        <w:t>.</w:t>
      </w:r>
      <w:r w:rsidRPr="00230007">
        <w:t xml:space="preserve"> </w:t>
      </w:r>
      <w:r w:rsidR="00C50628" w:rsidRPr="00230007">
        <w:t>Способен осуществлять социальное взаимодействие и реализовывать свою роль в команде</w:t>
      </w:r>
      <w:r w:rsidR="003D301E" w:rsidRPr="00230007">
        <w:t>;</w:t>
      </w:r>
    </w:p>
    <w:p w14:paraId="7289DFE1" w14:textId="5B291659" w:rsidR="00E6457E" w:rsidRPr="00230007" w:rsidRDefault="00E6457E" w:rsidP="006D6A19">
      <w:pPr>
        <w:spacing w:after="0"/>
        <w:ind w:left="709"/>
        <w:jc w:val="both"/>
      </w:pPr>
      <w:r w:rsidRPr="00230007">
        <w:t>УК-4</w:t>
      </w:r>
      <w:r w:rsidR="003D301E" w:rsidRPr="00230007">
        <w:t>.</w:t>
      </w:r>
      <w:r w:rsidRPr="00230007">
        <w:t xml:space="preserve"> </w:t>
      </w:r>
      <w:r w:rsidR="00C50628" w:rsidRPr="00230007">
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  <w:r w:rsidR="003D301E" w:rsidRPr="00230007">
        <w:t>;</w:t>
      </w:r>
    </w:p>
    <w:p w14:paraId="2E5EB758" w14:textId="46A84EA0" w:rsidR="00E6457E" w:rsidRPr="00230007" w:rsidRDefault="00E6457E" w:rsidP="006D6A19">
      <w:pPr>
        <w:spacing w:after="0"/>
        <w:ind w:left="709"/>
        <w:jc w:val="both"/>
      </w:pPr>
      <w:r w:rsidRPr="00230007">
        <w:t>УК-6</w:t>
      </w:r>
      <w:r w:rsidR="003D301E" w:rsidRPr="00230007">
        <w:t>.</w:t>
      </w:r>
      <w:r w:rsidRPr="00230007">
        <w:t xml:space="preserve"> </w:t>
      </w:r>
      <w:r w:rsidR="00C50628" w:rsidRPr="00230007"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="003D301E" w:rsidRPr="00230007">
        <w:t>;</w:t>
      </w:r>
    </w:p>
    <w:p w14:paraId="02AC8782" w14:textId="1B727B6E" w:rsidR="00E6457E" w:rsidRPr="00230007" w:rsidRDefault="00E6457E" w:rsidP="006D6A19">
      <w:pPr>
        <w:spacing w:after="0"/>
        <w:ind w:left="709"/>
        <w:jc w:val="both"/>
      </w:pPr>
      <w:r w:rsidRPr="00230007">
        <w:lastRenderedPageBreak/>
        <w:t>ОПК-1</w:t>
      </w:r>
      <w:r w:rsidR="003D301E" w:rsidRPr="00230007">
        <w:t>.</w:t>
      </w:r>
      <w:r w:rsidRPr="00230007">
        <w:t xml:space="preserve"> </w:t>
      </w:r>
      <w:r w:rsidR="00C50628" w:rsidRPr="00230007"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="003D301E" w:rsidRPr="00230007">
        <w:t>;</w:t>
      </w:r>
    </w:p>
    <w:p w14:paraId="2FD74637" w14:textId="7E733BDB" w:rsidR="00E6457E" w:rsidRPr="00230007" w:rsidRDefault="00E6457E" w:rsidP="006D6A19">
      <w:pPr>
        <w:spacing w:after="0"/>
        <w:ind w:left="709"/>
        <w:jc w:val="both"/>
      </w:pPr>
      <w:r w:rsidRPr="00230007">
        <w:t>ОПК-2</w:t>
      </w:r>
      <w:r w:rsidR="003D301E" w:rsidRPr="00230007">
        <w:t>.</w:t>
      </w:r>
      <w:r w:rsidRPr="00230007">
        <w:t xml:space="preserve"> </w:t>
      </w:r>
      <w:r w:rsidR="00C50628" w:rsidRPr="00230007"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 w:rsidR="003D301E" w:rsidRPr="00230007">
        <w:t>;</w:t>
      </w:r>
    </w:p>
    <w:p w14:paraId="70AD8A77" w14:textId="32FBB20E" w:rsidR="00E6457E" w:rsidRPr="00230007" w:rsidRDefault="00E6457E" w:rsidP="006D6A19">
      <w:pPr>
        <w:spacing w:after="0"/>
        <w:ind w:left="709"/>
        <w:jc w:val="both"/>
      </w:pPr>
      <w:r w:rsidRPr="00230007">
        <w:t>ОПК-3</w:t>
      </w:r>
      <w:r w:rsidR="003D301E" w:rsidRPr="00230007">
        <w:t>.</w:t>
      </w:r>
      <w:r w:rsidRPr="00230007">
        <w:t xml:space="preserve"> </w:t>
      </w:r>
      <w:r w:rsidR="00C50628" w:rsidRPr="00230007"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="003D301E" w:rsidRPr="00230007">
        <w:t>;</w:t>
      </w:r>
    </w:p>
    <w:p w14:paraId="4CA5E9F2" w14:textId="30944B18" w:rsidR="00E6457E" w:rsidRPr="00230007" w:rsidRDefault="00E6457E" w:rsidP="006D6A19">
      <w:pPr>
        <w:spacing w:after="0"/>
        <w:ind w:left="709"/>
        <w:jc w:val="both"/>
      </w:pPr>
      <w:r w:rsidRPr="00230007">
        <w:t>ОПК-4</w:t>
      </w:r>
      <w:r w:rsidR="003D301E" w:rsidRPr="00230007">
        <w:t>.</w:t>
      </w:r>
      <w:r w:rsidRPr="00230007">
        <w:t xml:space="preserve"> </w:t>
      </w:r>
      <w:r w:rsidR="00C50628" w:rsidRPr="00230007"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="003D301E" w:rsidRPr="00230007">
        <w:t>;</w:t>
      </w:r>
    </w:p>
    <w:p w14:paraId="140CC65A" w14:textId="2CA5DBC5" w:rsidR="00E6457E" w:rsidRPr="00230007" w:rsidRDefault="00E6457E" w:rsidP="006D6A19">
      <w:pPr>
        <w:spacing w:after="0"/>
        <w:ind w:left="709"/>
        <w:jc w:val="both"/>
      </w:pPr>
      <w:r w:rsidRPr="00230007">
        <w:t>ОПК-5</w:t>
      </w:r>
      <w:r w:rsidR="003D301E" w:rsidRPr="00230007">
        <w:t>.</w:t>
      </w:r>
      <w:r w:rsidRPr="00230007">
        <w:t xml:space="preserve"> </w:t>
      </w:r>
      <w:r w:rsidR="00C50628" w:rsidRPr="00230007">
        <w:t>Способен инсталлировать программное и аппаратное обеспечение для информационных и автоматизированных систем</w:t>
      </w:r>
      <w:r w:rsidR="003D301E" w:rsidRPr="00230007">
        <w:t>;</w:t>
      </w:r>
    </w:p>
    <w:p w14:paraId="49223194" w14:textId="604DE2B6" w:rsidR="00E6457E" w:rsidRPr="00230007" w:rsidRDefault="00E6457E" w:rsidP="006D6A19">
      <w:pPr>
        <w:spacing w:after="0"/>
        <w:ind w:left="709"/>
        <w:jc w:val="both"/>
      </w:pPr>
      <w:r w:rsidRPr="00230007">
        <w:t>ОПК-6</w:t>
      </w:r>
      <w:r w:rsidR="003D301E" w:rsidRPr="00230007">
        <w:t>.</w:t>
      </w:r>
      <w:r w:rsidRPr="00230007">
        <w:t xml:space="preserve"> </w:t>
      </w:r>
      <w:r w:rsidR="00C50628" w:rsidRPr="00230007"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3D301E" w:rsidRPr="00230007">
        <w:t>;</w:t>
      </w:r>
    </w:p>
    <w:p w14:paraId="3FD4CE29" w14:textId="67A193FA" w:rsidR="00E6457E" w:rsidRPr="00230007" w:rsidRDefault="00E6457E" w:rsidP="006D6A19">
      <w:pPr>
        <w:spacing w:after="0"/>
        <w:ind w:left="709"/>
        <w:jc w:val="both"/>
      </w:pPr>
      <w:r w:rsidRPr="00230007">
        <w:t>ОПК-7</w:t>
      </w:r>
      <w:r w:rsidR="003D301E" w:rsidRPr="00230007">
        <w:t>.</w:t>
      </w:r>
      <w:r w:rsidRPr="00230007">
        <w:t xml:space="preserve"> </w:t>
      </w:r>
      <w:r w:rsidR="00C50628" w:rsidRPr="00230007">
        <w:t>Способен применять в практической деятельности основные концепции, принципы, теории и факты, связанные с информатикой</w:t>
      </w:r>
      <w:r w:rsidR="003D301E" w:rsidRPr="00230007">
        <w:t>;</w:t>
      </w:r>
    </w:p>
    <w:p w14:paraId="61F5DB1A" w14:textId="4C50F753" w:rsidR="00E6457E" w:rsidRPr="00230007" w:rsidRDefault="00E6457E" w:rsidP="006D6A19">
      <w:pPr>
        <w:spacing w:after="0"/>
        <w:ind w:left="709"/>
        <w:jc w:val="both"/>
      </w:pPr>
      <w:r w:rsidRPr="00230007">
        <w:t>ОПК-8</w:t>
      </w:r>
      <w:r w:rsidR="003D301E" w:rsidRPr="00230007">
        <w:t>.</w:t>
      </w:r>
      <w:r w:rsidRPr="00230007">
        <w:t xml:space="preserve"> </w:t>
      </w:r>
      <w:r w:rsidR="00C50628" w:rsidRPr="00230007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="003D301E" w:rsidRPr="00230007">
        <w:t>;</w:t>
      </w:r>
    </w:p>
    <w:p w14:paraId="2FE356FA" w14:textId="1D466C8E" w:rsidR="00E6457E" w:rsidRPr="00230007" w:rsidRDefault="00E6457E" w:rsidP="006D6A19">
      <w:pPr>
        <w:spacing w:after="0"/>
        <w:ind w:left="709"/>
        <w:jc w:val="both"/>
      </w:pPr>
      <w:r w:rsidRPr="00230007">
        <w:t>ПК-1</w:t>
      </w:r>
      <w:r w:rsidR="003D301E" w:rsidRPr="00230007">
        <w:t>.</w:t>
      </w:r>
      <w:r w:rsidRPr="00230007">
        <w:t xml:space="preserve"> </w:t>
      </w:r>
      <w:r w:rsidR="00C50628" w:rsidRPr="00230007">
        <w:t>Способен проводить научно-исследовательские и опытно-конструкторские разработки</w:t>
      </w:r>
      <w:r w:rsidR="003D301E" w:rsidRPr="00230007">
        <w:t>;</w:t>
      </w:r>
    </w:p>
    <w:p w14:paraId="3F8C8931" w14:textId="1B4A509F" w:rsidR="00E6457E" w:rsidRPr="00230007" w:rsidRDefault="00E6457E" w:rsidP="006D6A19">
      <w:pPr>
        <w:spacing w:after="0"/>
        <w:ind w:left="709"/>
        <w:jc w:val="both"/>
      </w:pPr>
      <w:r w:rsidRPr="00230007">
        <w:t>ПК-2</w:t>
      </w:r>
      <w:r w:rsidR="003D301E" w:rsidRPr="00230007">
        <w:t>.</w:t>
      </w:r>
      <w:r w:rsidRPr="00230007">
        <w:t xml:space="preserve"> </w:t>
      </w:r>
      <w:r w:rsidR="00C50628" w:rsidRPr="00230007">
        <w:t>Способен проводить интеграцию программных модулей и компонент</w:t>
      </w:r>
      <w:r w:rsidR="003D301E" w:rsidRPr="00230007">
        <w:t>;</w:t>
      </w:r>
    </w:p>
    <w:p w14:paraId="0D77E483" w14:textId="60A4A091" w:rsidR="00E6457E" w:rsidRPr="00230007" w:rsidRDefault="00E6457E" w:rsidP="006D6A19">
      <w:pPr>
        <w:spacing w:after="0"/>
        <w:ind w:left="709"/>
        <w:jc w:val="both"/>
      </w:pPr>
      <w:r w:rsidRPr="00230007">
        <w:t>ПК-3</w:t>
      </w:r>
      <w:r w:rsidR="003D301E" w:rsidRPr="00230007">
        <w:t>.</w:t>
      </w:r>
      <w:r w:rsidRPr="00230007">
        <w:t xml:space="preserve"> </w:t>
      </w:r>
      <w:r w:rsidR="00C50628" w:rsidRPr="00230007">
        <w:t>Способен разрабатывать тестовые случаи, проводить тестирование и исследовать результаты</w:t>
      </w:r>
      <w:r w:rsidR="003D301E" w:rsidRPr="00230007">
        <w:t>;</w:t>
      </w:r>
    </w:p>
    <w:p w14:paraId="4B86228C" w14:textId="05FED47A" w:rsidR="00E6457E" w:rsidRPr="00230007" w:rsidRDefault="00E6457E" w:rsidP="006D6A19">
      <w:pPr>
        <w:spacing w:after="0"/>
        <w:ind w:left="709"/>
        <w:jc w:val="both"/>
      </w:pPr>
      <w:r w:rsidRPr="00230007">
        <w:t xml:space="preserve">ПК-4 </w:t>
      </w:r>
      <w:r w:rsidR="00C50628" w:rsidRPr="00230007">
        <w:t>Способен создавать и анализировать требования на разработку программно-информационных систем и подсистем</w:t>
      </w:r>
      <w:r w:rsidR="003D301E" w:rsidRPr="00230007">
        <w:t>;</w:t>
      </w:r>
    </w:p>
    <w:p w14:paraId="25F50F71" w14:textId="5E11CEDF" w:rsidR="00E6457E" w:rsidRPr="00230007" w:rsidRDefault="00E6457E" w:rsidP="006D6A19">
      <w:pPr>
        <w:spacing w:after="0"/>
        <w:ind w:left="709"/>
        <w:jc w:val="both"/>
      </w:pPr>
      <w:r w:rsidRPr="00230007">
        <w:t>ПК-5</w:t>
      </w:r>
      <w:r w:rsidR="003D301E" w:rsidRPr="00230007">
        <w:t>.</w:t>
      </w:r>
      <w:r w:rsidRPr="00230007">
        <w:t xml:space="preserve"> </w:t>
      </w:r>
      <w:r w:rsidR="00C50628" w:rsidRPr="00230007">
        <w:t>Способен осуществлять концептуальное, функциональное и логическое проектирование программно-информационных систем</w:t>
      </w:r>
      <w:r w:rsidRPr="00230007">
        <w:t>.</w:t>
      </w:r>
    </w:p>
    <w:p w14:paraId="1D799B9A" w14:textId="25D9115D" w:rsidR="007B19A6" w:rsidRDefault="007B19A6">
      <w:pPr>
        <w:spacing w:after="0" w:line="240" w:lineRule="auto"/>
        <w:jc w:val="both"/>
      </w:pPr>
      <w:r>
        <w:br w:type="page"/>
      </w:r>
    </w:p>
    <w:p w14:paraId="455E3B37" w14:textId="10DB01E6" w:rsidR="001138A9" w:rsidRPr="00230007" w:rsidRDefault="001138A9" w:rsidP="001938A3">
      <w:pPr>
        <w:pStyle w:val="a4"/>
        <w:numPr>
          <w:ilvl w:val="0"/>
          <w:numId w:val="3"/>
        </w:numPr>
        <w:spacing w:after="0"/>
        <w:jc w:val="both"/>
      </w:pPr>
      <w:r w:rsidRPr="00230007">
        <w:lastRenderedPageBreak/>
        <w:t>Рекомендуемая литература:</w:t>
      </w:r>
    </w:p>
    <w:p w14:paraId="4B128CAA" w14:textId="77777777" w:rsidR="001138A9" w:rsidRPr="00230007" w:rsidRDefault="00E6457E" w:rsidP="001138A9">
      <w:pPr>
        <w:pStyle w:val="a4"/>
        <w:numPr>
          <w:ilvl w:val="1"/>
          <w:numId w:val="5"/>
        </w:numPr>
        <w:spacing w:after="0"/>
        <w:jc w:val="both"/>
        <w:rPr>
          <w:highlight w:val="yellow"/>
        </w:rPr>
      </w:pPr>
      <w:r w:rsidRPr="00230007">
        <w:rPr>
          <w:highlight w:val="yellow"/>
        </w:rPr>
        <w:t>Библиографическое описание первого источника по ГОСТ.</w:t>
      </w:r>
    </w:p>
    <w:p w14:paraId="21AB2DE0" w14:textId="77777777" w:rsidR="00E6457E" w:rsidRPr="00230007" w:rsidRDefault="00E6457E" w:rsidP="001138A9">
      <w:pPr>
        <w:pStyle w:val="a4"/>
        <w:numPr>
          <w:ilvl w:val="1"/>
          <w:numId w:val="5"/>
        </w:numPr>
        <w:spacing w:after="0"/>
        <w:jc w:val="both"/>
        <w:rPr>
          <w:highlight w:val="yellow"/>
        </w:rPr>
      </w:pPr>
      <w:r w:rsidRPr="00230007">
        <w:rPr>
          <w:highlight w:val="yellow"/>
        </w:rPr>
        <w:t>Библиографическое описание второго источника по ГОСТ и так далее.</w:t>
      </w:r>
    </w:p>
    <w:p w14:paraId="3F0BB53B" w14:textId="77777777" w:rsidR="00E6457E" w:rsidRPr="00230007" w:rsidRDefault="00E6457E" w:rsidP="00E6457E">
      <w:pPr>
        <w:spacing w:after="0"/>
        <w:jc w:val="both"/>
      </w:pPr>
    </w:p>
    <w:tbl>
      <w:tblPr>
        <w:tblStyle w:val="2"/>
        <w:tblW w:w="10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552"/>
        <w:gridCol w:w="1175"/>
        <w:gridCol w:w="2617"/>
        <w:gridCol w:w="466"/>
      </w:tblGrid>
      <w:tr w:rsidR="00E6457E" w:rsidRPr="00230007" w14:paraId="7FC5A2AB" w14:textId="77777777" w:rsidTr="00E6457E">
        <w:trPr>
          <w:gridAfter w:val="1"/>
          <w:wAfter w:w="466" w:type="dxa"/>
        </w:trPr>
        <w:tc>
          <w:tcPr>
            <w:tcW w:w="3510" w:type="dxa"/>
            <w:vAlign w:val="bottom"/>
          </w:tcPr>
          <w:p w14:paraId="56F47CEC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  <w:r w:rsidRPr="00230007">
              <w:rPr>
                <w:szCs w:val="28"/>
              </w:rPr>
              <w:t>Руководитель выпускной квалификационной работы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C69601E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792" w:type="dxa"/>
            <w:gridSpan w:val="2"/>
            <w:vAlign w:val="bottom"/>
          </w:tcPr>
          <w:p w14:paraId="71995ECC" w14:textId="77777777" w:rsidR="00E6457E" w:rsidRPr="00230007" w:rsidRDefault="00E6457E" w:rsidP="00E6457E">
            <w:pPr>
              <w:spacing w:after="0" w:line="240" w:lineRule="auto"/>
              <w:rPr>
                <w:szCs w:val="28"/>
                <w:highlight w:val="yellow"/>
              </w:rPr>
            </w:pPr>
            <w:r w:rsidRPr="00230007">
              <w:rPr>
                <w:szCs w:val="28"/>
                <w:highlight w:val="yellow"/>
              </w:rPr>
              <w:t>к.ф.-м.н., доцент каф. ИСКМ,</w:t>
            </w:r>
          </w:p>
          <w:p w14:paraId="23D6BAB6" w14:textId="55D2F99A" w:rsidR="00E6457E" w:rsidRPr="00230007" w:rsidRDefault="0050755E" w:rsidP="00E6457E">
            <w:pPr>
              <w:spacing w:after="0" w:line="240" w:lineRule="auto"/>
              <w:rPr>
                <w:szCs w:val="28"/>
              </w:rPr>
            </w:pPr>
            <w:r w:rsidRPr="0050755E">
              <w:rPr>
                <w:szCs w:val="28"/>
                <w:highlight w:val="yellow"/>
              </w:rPr>
              <w:t>С.С. Храпов</w:t>
            </w:r>
          </w:p>
        </w:tc>
      </w:tr>
      <w:tr w:rsidR="00E6457E" w:rsidRPr="00230007" w14:paraId="40D55F39" w14:textId="77777777" w:rsidTr="00E6457E">
        <w:trPr>
          <w:gridAfter w:val="1"/>
          <w:wAfter w:w="466" w:type="dxa"/>
        </w:trPr>
        <w:tc>
          <w:tcPr>
            <w:tcW w:w="3510" w:type="dxa"/>
            <w:vAlign w:val="bottom"/>
          </w:tcPr>
          <w:p w14:paraId="5BFE700F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552" w:type="dxa"/>
          </w:tcPr>
          <w:p w14:paraId="4B1DC5B1" w14:textId="77777777" w:rsidR="00E6457E" w:rsidRPr="00230007" w:rsidRDefault="00E6457E" w:rsidP="00E6457E">
            <w:pPr>
              <w:spacing w:after="0" w:line="240" w:lineRule="auto"/>
              <w:jc w:val="center"/>
              <w:rPr>
                <w:szCs w:val="28"/>
              </w:rPr>
            </w:pPr>
            <w:r w:rsidRPr="00230007">
              <w:rPr>
                <w:sz w:val="20"/>
                <w:szCs w:val="20"/>
              </w:rPr>
              <w:t>(подпись)</w:t>
            </w:r>
          </w:p>
        </w:tc>
        <w:tc>
          <w:tcPr>
            <w:tcW w:w="3792" w:type="dxa"/>
            <w:gridSpan w:val="2"/>
            <w:vAlign w:val="bottom"/>
          </w:tcPr>
          <w:p w14:paraId="5035F3C3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</w:tr>
      <w:tr w:rsidR="00E6457E" w:rsidRPr="00230007" w14:paraId="2094D9E9" w14:textId="77777777" w:rsidTr="00E6457E">
        <w:tc>
          <w:tcPr>
            <w:tcW w:w="3510" w:type="dxa"/>
          </w:tcPr>
          <w:p w14:paraId="54B2F050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552" w:type="dxa"/>
          </w:tcPr>
          <w:p w14:paraId="6FBA0866" w14:textId="77777777" w:rsidR="00E6457E" w:rsidRPr="00230007" w:rsidRDefault="00E6457E" w:rsidP="00E645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75" w:type="dxa"/>
          </w:tcPr>
          <w:p w14:paraId="4EE11B01" w14:textId="77777777" w:rsidR="00E6457E" w:rsidRPr="00230007" w:rsidRDefault="00E6457E" w:rsidP="00E6457E">
            <w:pPr>
              <w:spacing w:after="0" w:line="240" w:lineRule="auto"/>
              <w:rPr>
                <w:szCs w:val="28"/>
                <w:highlight w:val="yellow"/>
              </w:rPr>
            </w:pPr>
          </w:p>
        </w:tc>
        <w:tc>
          <w:tcPr>
            <w:tcW w:w="3083" w:type="dxa"/>
            <w:gridSpan w:val="2"/>
          </w:tcPr>
          <w:p w14:paraId="2CD5C936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</w:tr>
      <w:tr w:rsidR="00E6457E" w:rsidRPr="00230007" w14:paraId="4CDA0FB4" w14:textId="77777777" w:rsidTr="00E6457E">
        <w:trPr>
          <w:gridAfter w:val="1"/>
          <w:wAfter w:w="466" w:type="dxa"/>
        </w:trPr>
        <w:tc>
          <w:tcPr>
            <w:tcW w:w="3510" w:type="dxa"/>
            <w:vAlign w:val="bottom"/>
          </w:tcPr>
          <w:p w14:paraId="09788974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  <w:r w:rsidRPr="00230007">
              <w:rPr>
                <w:szCs w:val="28"/>
              </w:rPr>
              <w:t>Студент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703DD764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3792" w:type="dxa"/>
            <w:gridSpan w:val="2"/>
            <w:vAlign w:val="bottom"/>
          </w:tcPr>
          <w:p w14:paraId="0F7D16A2" w14:textId="338B927F" w:rsidR="00E6457E" w:rsidRPr="00230007" w:rsidRDefault="0050755E" w:rsidP="00E6457E">
            <w:pPr>
              <w:spacing w:after="0" w:line="240" w:lineRule="auto"/>
              <w:rPr>
                <w:szCs w:val="28"/>
              </w:rPr>
            </w:pPr>
            <w:r>
              <w:rPr>
                <w:szCs w:val="28"/>
                <w:highlight w:val="yellow"/>
              </w:rPr>
              <w:t>А</w:t>
            </w:r>
            <w:r w:rsidR="00E6457E" w:rsidRPr="00230007">
              <w:rPr>
                <w:szCs w:val="28"/>
                <w:highlight w:val="yellow"/>
              </w:rPr>
              <w:t>.</w:t>
            </w:r>
            <w:r>
              <w:rPr>
                <w:szCs w:val="28"/>
                <w:highlight w:val="yellow"/>
              </w:rPr>
              <w:t>М</w:t>
            </w:r>
            <w:r w:rsidR="00E6457E" w:rsidRPr="00230007">
              <w:rPr>
                <w:szCs w:val="28"/>
                <w:highlight w:val="yellow"/>
              </w:rPr>
              <w:t>.</w:t>
            </w:r>
            <w:r>
              <w:rPr>
                <w:szCs w:val="28"/>
                <w:highlight w:val="yellow"/>
              </w:rPr>
              <w:t> </w:t>
            </w:r>
            <w:r w:rsidRPr="0050755E">
              <w:rPr>
                <w:szCs w:val="28"/>
                <w:highlight w:val="yellow"/>
              </w:rPr>
              <w:t>Чеботарев</w:t>
            </w:r>
          </w:p>
        </w:tc>
      </w:tr>
      <w:tr w:rsidR="00E6457E" w:rsidRPr="00230007" w14:paraId="6F3E1594" w14:textId="77777777" w:rsidTr="00E6457E">
        <w:tc>
          <w:tcPr>
            <w:tcW w:w="3510" w:type="dxa"/>
          </w:tcPr>
          <w:p w14:paraId="649957D6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14:paraId="69CB98B6" w14:textId="77777777" w:rsidR="00E6457E" w:rsidRPr="00230007" w:rsidRDefault="00E6457E" w:rsidP="00E6457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230007">
              <w:rPr>
                <w:sz w:val="20"/>
                <w:szCs w:val="20"/>
              </w:rPr>
              <w:t>(подпись)</w:t>
            </w:r>
          </w:p>
        </w:tc>
        <w:tc>
          <w:tcPr>
            <w:tcW w:w="1175" w:type="dxa"/>
          </w:tcPr>
          <w:p w14:paraId="42AE7481" w14:textId="77777777" w:rsidR="00E6457E" w:rsidRPr="00230007" w:rsidRDefault="00E6457E" w:rsidP="00E6457E">
            <w:pPr>
              <w:spacing w:after="0" w:line="240" w:lineRule="auto"/>
              <w:rPr>
                <w:szCs w:val="28"/>
                <w:highlight w:val="yellow"/>
              </w:rPr>
            </w:pPr>
          </w:p>
        </w:tc>
        <w:tc>
          <w:tcPr>
            <w:tcW w:w="3083" w:type="dxa"/>
            <w:gridSpan w:val="2"/>
          </w:tcPr>
          <w:p w14:paraId="39B85267" w14:textId="77777777" w:rsidR="00E6457E" w:rsidRPr="00230007" w:rsidRDefault="00E6457E" w:rsidP="00E6457E">
            <w:pPr>
              <w:spacing w:after="0" w:line="240" w:lineRule="auto"/>
              <w:rPr>
                <w:szCs w:val="28"/>
              </w:rPr>
            </w:pPr>
          </w:p>
        </w:tc>
      </w:tr>
    </w:tbl>
    <w:p w14:paraId="3BCEB8A4" w14:textId="77777777" w:rsidR="00025B8D" w:rsidRPr="00230007" w:rsidRDefault="00025B8D" w:rsidP="00E6457E">
      <w:pPr>
        <w:spacing w:after="0" w:line="240" w:lineRule="auto"/>
        <w:jc w:val="both"/>
      </w:pPr>
    </w:p>
    <w:sectPr w:rsidR="00025B8D" w:rsidRPr="00230007" w:rsidSect="00E50C54">
      <w:pgSz w:w="11906" w:h="16838" w:code="9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78F73" w14:textId="77777777" w:rsidR="006549E5" w:rsidRDefault="006549E5" w:rsidP="00F63DE7">
      <w:pPr>
        <w:spacing w:after="0" w:line="240" w:lineRule="auto"/>
      </w:pPr>
      <w:r>
        <w:separator/>
      </w:r>
    </w:p>
  </w:endnote>
  <w:endnote w:type="continuationSeparator" w:id="0">
    <w:p w14:paraId="44DB42BF" w14:textId="77777777" w:rsidR="006549E5" w:rsidRDefault="006549E5" w:rsidP="00F63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CF2FF" w14:textId="77777777" w:rsidR="006549E5" w:rsidRDefault="006549E5" w:rsidP="00F63DE7">
      <w:pPr>
        <w:spacing w:after="0" w:line="240" w:lineRule="auto"/>
      </w:pPr>
      <w:r>
        <w:separator/>
      </w:r>
    </w:p>
  </w:footnote>
  <w:footnote w:type="continuationSeparator" w:id="0">
    <w:p w14:paraId="53A493C4" w14:textId="77777777" w:rsidR="006549E5" w:rsidRDefault="006549E5" w:rsidP="00F63D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1BA6"/>
    <w:multiLevelType w:val="hybridMultilevel"/>
    <w:tmpl w:val="CFA0D560"/>
    <w:lvl w:ilvl="0" w:tplc="1286DC6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1286DC6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A0710"/>
    <w:multiLevelType w:val="hybridMultilevel"/>
    <w:tmpl w:val="2DB8738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1286DC6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81DA1"/>
    <w:multiLevelType w:val="hybridMultilevel"/>
    <w:tmpl w:val="DAA0B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C0D25"/>
    <w:multiLevelType w:val="hybridMultilevel"/>
    <w:tmpl w:val="E40E722A"/>
    <w:lvl w:ilvl="0" w:tplc="DDC438D2">
      <w:start w:val="1"/>
      <w:numFmt w:val="russianLower"/>
      <w:lvlText w:val="%1)"/>
      <w:lvlJc w:val="left"/>
      <w:pPr>
        <w:ind w:left="144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F734BC4"/>
    <w:multiLevelType w:val="hybridMultilevel"/>
    <w:tmpl w:val="C57A4CB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1286DC6E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B3C75"/>
    <w:multiLevelType w:val="hybridMultilevel"/>
    <w:tmpl w:val="1B6A027A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235F3F"/>
    <w:multiLevelType w:val="hybridMultilevel"/>
    <w:tmpl w:val="674C39F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1286DC6E">
      <w:start w:val="1"/>
      <w:numFmt w:val="russianLower"/>
      <w:lvlText w:val="%2)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D11"/>
    <w:rsid w:val="00011F86"/>
    <w:rsid w:val="00024A1D"/>
    <w:rsid w:val="00025B8D"/>
    <w:rsid w:val="00034EEE"/>
    <w:rsid w:val="00035DB4"/>
    <w:rsid w:val="000D3BC8"/>
    <w:rsid w:val="001138A9"/>
    <w:rsid w:val="00127AE0"/>
    <w:rsid w:val="001521DE"/>
    <w:rsid w:val="001812C0"/>
    <w:rsid w:val="001865FC"/>
    <w:rsid w:val="001938A3"/>
    <w:rsid w:val="001B25AF"/>
    <w:rsid w:val="00204DC3"/>
    <w:rsid w:val="00223EFE"/>
    <w:rsid w:val="00230007"/>
    <w:rsid w:val="00243709"/>
    <w:rsid w:val="00253321"/>
    <w:rsid w:val="0027284D"/>
    <w:rsid w:val="002B021C"/>
    <w:rsid w:val="00304411"/>
    <w:rsid w:val="003054A0"/>
    <w:rsid w:val="00310BF8"/>
    <w:rsid w:val="00317E9B"/>
    <w:rsid w:val="003420B0"/>
    <w:rsid w:val="00354004"/>
    <w:rsid w:val="00385062"/>
    <w:rsid w:val="0039662F"/>
    <w:rsid w:val="003D301E"/>
    <w:rsid w:val="003E7C36"/>
    <w:rsid w:val="0042491D"/>
    <w:rsid w:val="00435E57"/>
    <w:rsid w:val="004649F9"/>
    <w:rsid w:val="00491592"/>
    <w:rsid w:val="004A5DA4"/>
    <w:rsid w:val="004D120D"/>
    <w:rsid w:val="004D440C"/>
    <w:rsid w:val="004E2D11"/>
    <w:rsid w:val="004F06F9"/>
    <w:rsid w:val="004F5E0E"/>
    <w:rsid w:val="0050755E"/>
    <w:rsid w:val="00513870"/>
    <w:rsid w:val="00531522"/>
    <w:rsid w:val="005333DF"/>
    <w:rsid w:val="005336CF"/>
    <w:rsid w:val="005426FA"/>
    <w:rsid w:val="005440A8"/>
    <w:rsid w:val="00557B86"/>
    <w:rsid w:val="00583FEA"/>
    <w:rsid w:val="00607371"/>
    <w:rsid w:val="006122D3"/>
    <w:rsid w:val="00652D7A"/>
    <w:rsid w:val="006549E5"/>
    <w:rsid w:val="00666587"/>
    <w:rsid w:val="00676576"/>
    <w:rsid w:val="00694BA0"/>
    <w:rsid w:val="00694BC8"/>
    <w:rsid w:val="006A3819"/>
    <w:rsid w:val="006C0B77"/>
    <w:rsid w:val="006C4B1C"/>
    <w:rsid w:val="006D6A19"/>
    <w:rsid w:val="006E321E"/>
    <w:rsid w:val="006E654C"/>
    <w:rsid w:val="006F3D6B"/>
    <w:rsid w:val="00705432"/>
    <w:rsid w:val="00713878"/>
    <w:rsid w:val="0073372A"/>
    <w:rsid w:val="00756B21"/>
    <w:rsid w:val="0076231B"/>
    <w:rsid w:val="00764631"/>
    <w:rsid w:val="00774498"/>
    <w:rsid w:val="007A02A2"/>
    <w:rsid w:val="007A180C"/>
    <w:rsid w:val="007B19A6"/>
    <w:rsid w:val="007F4832"/>
    <w:rsid w:val="008242FF"/>
    <w:rsid w:val="00870751"/>
    <w:rsid w:val="008759A2"/>
    <w:rsid w:val="00886DC8"/>
    <w:rsid w:val="008910A5"/>
    <w:rsid w:val="008C550F"/>
    <w:rsid w:val="00901DAD"/>
    <w:rsid w:val="00905A34"/>
    <w:rsid w:val="00917498"/>
    <w:rsid w:val="00917972"/>
    <w:rsid w:val="00922C48"/>
    <w:rsid w:val="009230EC"/>
    <w:rsid w:val="009244C8"/>
    <w:rsid w:val="009449CD"/>
    <w:rsid w:val="00962ECF"/>
    <w:rsid w:val="00967B14"/>
    <w:rsid w:val="00993954"/>
    <w:rsid w:val="009A0D54"/>
    <w:rsid w:val="009B27D8"/>
    <w:rsid w:val="009B4DF9"/>
    <w:rsid w:val="009D18AC"/>
    <w:rsid w:val="009E4E08"/>
    <w:rsid w:val="009F0A7C"/>
    <w:rsid w:val="00A04526"/>
    <w:rsid w:val="00A13B9E"/>
    <w:rsid w:val="00A17B54"/>
    <w:rsid w:val="00A20EE5"/>
    <w:rsid w:val="00A7109B"/>
    <w:rsid w:val="00A800DB"/>
    <w:rsid w:val="00A956BE"/>
    <w:rsid w:val="00A97F41"/>
    <w:rsid w:val="00AB5E05"/>
    <w:rsid w:val="00AC2B5B"/>
    <w:rsid w:val="00AE7ECE"/>
    <w:rsid w:val="00AF3574"/>
    <w:rsid w:val="00B35BBC"/>
    <w:rsid w:val="00B61FDD"/>
    <w:rsid w:val="00B8788B"/>
    <w:rsid w:val="00B915B7"/>
    <w:rsid w:val="00BB71CD"/>
    <w:rsid w:val="00BC08B0"/>
    <w:rsid w:val="00BD5A29"/>
    <w:rsid w:val="00BF4C9B"/>
    <w:rsid w:val="00C00E93"/>
    <w:rsid w:val="00C50628"/>
    <w:rsid w:val="00C83E8D"/>
    <w:rsid w:val="00CC317B"/>
    <w:rsid w:val="00CD2A15"/>
    <w:rsid w:val="00CE7C2E"/>
    <w:rsid w:val="00D36A46"/>
    <w:rsid w:val="00D52C49"/>
    <w:rsid w:val="00D84895"/>
    <w:rsid w:val="00D977D4"/>
    <w:rsid w:val="00DA5089"/>
    <w:rsid w:val="00DB56C3"/>
    <w:rsid w:val="00DD55F2"/>
    <w:rsid w:val="00DE6C76"/>
    <w:rsid w:val="00DF5535"/>
    <w:rsid w:val="00DF7BE0"/>
    <w:rsid w:val="00E50C54"/>
    <w:rsid w:val="00E6457E"/>
    <w:rsid w:val="00E75036"/>
    <w:rsid w:val="00E83F30"/>
    <w:rsid w:val="00EA59DF"/>
    <w:rsid w:val="00ED201B"/>
    <w:rsid w:val="00EE4070"/>
    <w:rsid w:val="00EF588E"/>
    <w:rsid w:val="00F12C76"/>
    <w:rsid w:val="00F50266"/>
    <w:rsid w:val="00F512C8"/>
    <w:rsid w:val="00F562F0"/>
    <w:rsid w:val="00F623D9"/>
    <w:rsid w:val="00F63DE7"/>
    <w:rsid w:val="00F7719C"/>
    <w:rsid w:val="00F80E4E"/>
    <w:rsid w:val="00F825A5"/>
    <w:rsid w:val="00FA1CF2"/>
    <w:rsid w:val="00FB73D5"/>
    <w:rsid w:val="00FC2CBB"/>
    <w:rsid w:val="00FD6055"/>
    <w:rsid w:val="00FE0D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86B586"/>
  <w15:docId w15:val="{6F2E5BD1-FE68-425E-8BF0-9EE24AEDC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D11"/>
    <w:pPr>
      <w:spacing w:after="200" w:line="276" w:lineRule="auto"/>
      <w:jc w:val="left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4E2D11"/>
    <w:pPr>
      <w:jc w:val="left"/>
    </w:pPr>
    <w:rPr>
      <w:rFonts w:ascii="Trebuchet MS" w:eastAsia="Times New Roman" w:hAnsi="Trebuchet MS" w:cs="Times New Roman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E2D1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C4B1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6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63DE7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F63D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63DE7"/>
    <w:rPr>
      <w:rFonts w:ascii="Times New Roman" w:eastAsia="Calibri" w:hAnsi="Times New Roman" w:cs="Times New Roman"/>
      <w:sz w:val="28"/>
    </w:rPr>
  </w:style>
  <w:style w:type="table" w:customStyle="1" w:styleId="2">
    <w:name w:val="Сетка таблицы2"/>
    <w:basedOn w:val="a1"/>
    <w:next w:val="a3"/>
    <w:uiPriority w:val="59"/>
    <w:rsid w:val="00E6457E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1247</Words>
  <Characters>7108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Геннадий Иванченко</cp:lastModifiedBy>
  <cp:revision>5</cp:revision>
  <dcterms:created xsi:type="dcterms:W3CDTF">2021-06-15T10:27:00Z</dcterms:created>
  <dcterms:modified xsi:type="dcterms:W3CDTF">2021-06-15T10:49:00Z</dcterms:modified>
</cp:coreProperties>
</file>