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270"/>
        <w:gridCol w:w="1191"/>
        <w:gridCol w:w="1327"/>
        <w:gridCol w:w="1596"/>
        <w:gridCol w:w="247"/>
        <w:gridCol w:w="1214"/>
        <w:gridCol w:w="1463"/>
      </w:tblGrid>
      <w:tr w14:paraId="6A368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730" w:type="dxa"/>
            <w:gridSpan w:val="2"/>
            <w:shd w:val="clear" w:color="auto" w:fill="auto"/>
            <w:vAlign w:val="center"/>
          </w:tcPr>
          <w:p w14:paraId="7BE32266">
            <w:pPr>
              <w:jc w:val="center"/>
              <w:rPr>
                <w:rFonts w:ascii="仿宋" w:hAnsi="仿宋" w:eastAsia="仿宋"/>
              </w:rPr>
            </w:pPr>
            <w:bookmarkStart w:id="0" w:name="_GoBack"/>
            <w:bookmarkEnd w:id="0"/>
            <w:r>
              <w:rPr>
                <w:rFonts w:hint="eastAsia" w:ascii="仿宋" w:hAnsi="仿宋" w:eastAsia="仿宋"/>
              </w:rPr>
              <w:t>学生姓名</w:t>
            </w:r>
          </w:p>
        </w:tc>
        <w:tc>
          <w:tcPr>
            <w:tcW w:w="2518" w:type="dxa"/>
            <w:gridSpan w:val="2"/>
            <w:shd w:val="clear" w:color="auto" w:fill="auto"/>
            <w:vAlign w:val="center"/>
          </w:tcPr>
          <w:p w14:paraId="53ABB072">
            <w:pPr>
              <w:jc w:val="center"/>
              <w:rPr>
                <w:rFonts w:ascii="仿宋" w:hAnsi="仿宋" w:eastAsia="仿宋"/>
              </w:rPr>
            </w:pPr>
          </w:p>
        </w:tc>
        <w:tc>
          <w:tcPr>
            <w:tcW w:w="1843" w:type="dxa"/>
            <w:gridSpan w:val="2"/>
            <w:shd w:val="clear" w:color="auto" w:fill="auto"/>
            <w:vAlign w:val="center"/>
          </w:tcPr>
          <w:p w14:paraId="7C9CD5F5">
            <w:pPr>
              <w:jc w:val="center"/>
              <w:rPr>
                <w:rFonts w:ascii="仿宋" w:hAnsi="仿宋" w:eastAsia="仿宋"/>
              </w:rPr>
            </w:pPr>
            <w:r>
              <w:rPr>
                <w:rFonts w:hint="eastAsia" w:ascii="仿宋" w:hAnsi="仿宋" w:eastAsia="仿宋"/>
              </w:rPr>
              <w:t>学号</w:t>
            </w:r>
          </w:p>
        </w:tc>
        <w:tc>
          <w:tcPr>
            <w:tcW w:w="2677" w:type="dxa"/>
            <w:gridSpan w:val="2"/>
            <w:shd w:val="clear" w:color="auto" w:fill="auto"/>
            <w:vAlign w:val="center"/>
          </w:tcPr>
          <w:p w14:paraId="27C92253">
            <w:pPr>
              <w:jc w:val="center"/>
              <w:rPr>
                <w:rFonts w:ascii="仿宋" w:hAnsi="仿宋" w:eastAsia="仿宋" w:cs="Angsana New"/>
                <w:szCs w:val="30"/>
              </w:rPr>
            </w:pPr>
          </w:p>
        </w:tc>
      </w:tr>
      <w:tr w14:paraId="3C535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730" w:type="dxa"/>
            <w:gridSpan w:val="2"/>
            <w:shd w:val="clear" w:color="auto" w:fill="auto"/>
            <w:vAlign w:val="center"/>
          </w:tcPr>
          <w:p w14:paraId="49DB4CDF">
            <w:pPr>
              <w:jc w:val="center"/>
              <w:rPr>
                <w:rFonts w:ascii="仿宋" w:hAnsi="仿宋" w:eastAsia="仿宋"/>
              </w:rPr>
            </w:pPr>
            <w:r>
              <w:rPr>
                <w:rFonts w:hint="eastAsia" w:ascii="仿宋" w:hAnsi="仿宋" w:eastAsia="仿宋"/>
              </w:rPr>
              <w:t>选题学院</w:t>
            </w:r>
          </w:p>
        </w:tc>
        <w:tc>
          <w:tcPr>
            <w:tcW w:w="2518" w:type="dxa"/>
            <w:gridSpan w:val="2"/>
            <w:shd w:val="clear" w:color="auto" w:fill="auto"/>
            <w:vAlign w:val="center"/>
          </w:tcPr>
          <w:p w14:paraId="7D20F680">
            <w:pPr>
              <w:jc w:val="center"/>
              <w:rPr>
                <w:rFonts w:ascii="仿宋" w:hAnsi="仿宋" w:eastAsia="仿宋"/>
              </w:rPr>
            </w:pPr>
          </w:p>
        </w:tc>
        <w:tc>
          <w:tcPr>
            <w:tcW w:w="1843" w:type="dxa"/>
            <w:gridSpan w:val="2"/>
            <w:shd w:val="clear" w:color="auto" w:fill="auto"/>
            <w:vAlign w:val="center"/>
          </w:tcPr>
          <w:p w14:paraId="749D977D">
            <w:pPr>
              <w:jc w:val="center"/>
              <w:rPr>
                <w:rFonts w:ascii="仿宋" w:hAnsi="仿宋" w:eastAsia="仿宋"/>
              </w:rPr>
            </w:pPr>
            <w:r>
              <w:rPr>
                <w:rFonts w:hint="eastAsia" w:ascii="仿宋" w:hAnsi="仿宋" w:eastAsia="仿宋"/>
              </w:rPr>
              <w:t>专业班级</w:t>
            </w:r>
          </w:p>
        </w:tc>
        <w:tc>
          <w:tcPr>
            <w:tcW w:w="2677" w:type="dxa"/>
            <w:gridSpan w:val="2"/>
            <w:shd w:val="clear" w:color="auto" w:fill="auto"/>
            <w:vAlign w:val="center"/>
          </w:tcPr>
          <w:p w14:paraId="5CC99483">
            <w:pPr>
              <w:jc w:val="center"/>
              <w:rPr>
                <w:rFonts w:ascii="仿宋" w:hAnsi="仿宋" w:eastAsia="仿宋" w:cs="Angsana New"/>
                <w:szCs w:val="30"/>
              </w:rPr>
            </w:pPr>
          </w:p>
        </w:tc>
      </w:tr>
      <w:tr w14:paraId="3A685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730" w:type="dxa"/>
            <w:gridSpan w:val="2"/>
            <w:shd w:val="clear" w:color="auto" w:fill="auto"/>
            <w:vAlign w:val="center"/>
          </w:tcPr>
          <w:p w14:paraId="494A4678">
            <w:pPr>
              <w:jc w:val="center"/>
              <w:rPr>
                <w:rFonts w:ascii="仿宋" w:hAnsi="仿宋" w:eastAsia="仿宋"/>
              </w:rPr>
            </w:pPr>
            <w:r>
              <w:rPr>
                <w:rFonts w:hint="eastAsia" w:ascii="仿宋" w:hAnsi="仿宋" w:eastAsia="仿宋"/>
              </w:rPr>
              <w:t>课题中文名称</w:t>
            </w:r>
          </w:p>
        </w:tc>
        <w:tc>
          <w:tcPr>
            <w:tcW w:w="2518" w:type="dxa"/>
            <w:gridSpan w:val="2"/>
            <w:shd w:val="clear" w:color="auto" w:fill="auto"/>
            <w:vAlign w:val="center"/>
          </w:tcPr>
          <w:p w14:paraId="417E3BCA">
            <w:pPr>
              <w:rPr>
                <w:rFonts w:hint="eastAsia" w:ascii="仿宋" w:hAnsi="仿宋" w:eastAsia="仿宋"/>
              </w:rPr>
            </w:pPr>
            <w:r>
              <w:rPr>
                <w:rFonts w:ascii="仿宋" w:hAnsi="仿宋" w:eastAsia="仿宋"/>
              </w:rPr>
              <w:t>引入质疑者角色的多代理协作框架优化与性能提升研究</w:t>
            </w:r>
          </w:p>
        </w:tc>
        <w:tc>
          <w:tcPr>
            <w:tcW w:w="1843" w:type="dxa"/>
            <w:gridSpan w:val="2"/>
            <w:shd w:val="clear" w:color="auto" w:fill="auto"/>
            <w:vAlign w:val="center"/>
          </w:tcPr>
          <w:p w14:paraId="22C89830">
            <w:pPr>
              <w:jc w:val="center"/>
              <w:rPr>
                <w:rFonts w:ascii="仿宋" w:hAnsi="仿宋" w:eastAsia="仿宋"/>
              </w:rPr>
            </w:pPr>
            <w:r>
              <w:rPr>
                <w:rFonts w:hint="eastAsia" w:ascii="仿宋" w:hAnsi="仿宋" w:eastAsia="仿宋"/>
              </w:rPr>
              <w:t>课题英文名称</w:t>
            </w:r>
          </w:p>
        </w:tc>
        <w:tc>
          <w:tcPr>
            <w:tcW w:w="2677" w:type="dxa"/>
            <w:gridSpan w:val="2"/>
            <w:shd w:val="clear" w:color="auto" w:fill="auto"/>
            <w:vAlign w:val="center"/>
          </w:tcPr>
          <w:p w14:paraId="0483412F">
            <w:pPr>
              <w:jc w:val="center"/>
              <w:rPr>
                <w:rFonts w:ascii="仿宋" w:hAnsi="仿宋" w:eastAsia="仿宋"/>
              </w:rPr>
            </w:pPr>
            <w:r>
              <w:rPr>
                <w:rFonts w:ascii="仿宋" w:hAnsi="仿宋" w:eastAsia="仿宋"/>
              </w:rPr>
              <w:t>Performance Enhancement of Multi-Agent Debate Framework with Questioner Role</w:t>
            </w:r>
          </w:p>
        </w:tc>
      </w:tr>
      <w:tr w14:paraId="067CB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730" w:type="dxa"/>
            <w:gridSpan w:val="2"/>
            <w:shd w:val="clear" w:color="auto" w:fill="auto"/>
            <w:vAlign w:val="center"/>
          </w:tcPr>
          <w:p w14:paraId="2D4B2E63">
            <w:pPr>
              <w:jc w:val="center"/>
              <w:rPr>
                <w:rFonts w:ascii="仿宋" w:hAnsi="仿宋" w:eastAsia="仿宋"/>
              </w:rPr>
            </w:pPr>
            <w:r>
              <w:rPr>
                <w:rFonts w:hint="eastAsia" w:ascii="仿宋" w:hAnsi="仿宋" w:eastAsia="仿宋"/>
              </w:rPr>
              <w:t>指导教师</w:t>
            </w:r>
          </w:p>
        </w:tc>
        <w:tc>
          <w:tcPr>
            <w:tcW w:w="2518" w:type="dxa"/>
            <w:gridSpan w:val="2"/>
            <w:shd w:val="clear" w:color="auto" w:fill="auto"/>
            <w:vAlign w:val="center"/>
          </w:tcPr>
          <w:p w14:paraId="383F5FF6">
            <w:pPr>
              <w:jc w:val="center"/>
              <w:rPr>
                <w:rFonts w:ascii="仿宋" w:hAnsi="仿宋" w:eastAsia="仿宋"/>
              </w:rPr>
            </w:pPr>
          </w:p>
        </w:tc>
        <w:tc>
          <w:tcPr>
            <w:tcW w:w="1843" w:type="dxa"/>
            <w:gridSpan w:val="2"/>
            <w:shd w:val="clear" w:color="auto" w:fill="auto"/>
            <w:vAlign w:val="center"/>
          </w:tcPr>
          <w:p w14:paraId="72512B98">
            <w:pPr>
              <w:jc w:val="center"/>
              <w:rPr>
                <w:rFonts w:ascii="仿宋" w:hAnsi="仿宋" w:eastAsia="仿宋"/>
              </w:rPr>
            </w:pPr>
            <w:r>
              <w:rPr>
                <w:rFonts w:hint="eastAsia" w:ascii="仿宋" w:hAnsi="仿宋" w:eastAsia="仿宋"/>
              </w:rPr>
              <w:t>题目类型</w:t>
            </w:r>
          </w:p>
        </w:tc>
        <w:tc>
          <w:tcPr>
            <w:tcW w:w="2677" w:type="dxa"/>
            <w:gridSpan w:val="2"/>
            <w:shd w:val="clear" w:color="auto" w:fill="auto"/>
            <w:vAlign w:val="center"/>
          </w:tcPr>
          <w:p w14:paraId="2F024E25">
            <w:pPr>
              <w:jc w:val="center"/>
              <w:rPr>
                <w:rFonts w:ascii="仿宋" w:hAnsi="仿宋" w:eastAsia="仿宋"/>
              </w:rPr>
            </w:pPr>
          </w:p>
        </w:tc>
      </w:tr>
      <w:tr w14:paraId="1A583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730" w:type="dxa"/>
            <w:gridSpan w:val="2"/>
            <w:shd w:val="clear" w:color="auto" w:fill="auto"/>
            <w:vAlign w:val="center"/>
          </w:tcPr>
          <w:p w14:paraId="4ED535AE">
            <w:pPr>
              <w:jc w:val="center"/>
              <w:rPr>
                <w:rFonts w:ascii="仿宋" w:hAnsi="仿宋" w:eastAsia="仿宋"/>
              </w:rPr>
            </w:pPr>
            <w:r>
              <w:rPr>
                <w:rFonts w:hint="eastAsia" w:ascii="仿宋" w:hAnsi="仿宋" w:eastAsia="仿宋"/>
              </w:rPr>
              <w:t>进行方式</w:t>
            </w:r>
          </w:p>
        </w:tc>
        <w:tc>
          <w:tcPr>
            <w:tcW w:w="7038" w:type="dxa"/>
            <w:gridSpan w:val="6"/>
            <w:shd w:val="clear" w:color="auto" w:fill="auto"/>
            <w:vAlign w:val="center"/>
          </w:tcPr>
          <w:p w14:paraId="64793E4F">
            <w:pPr>
              <w:jc w:val="center"/>
              <w:rPr>
                <w:rFonts w:ascii="仿宋" w:hAnsi="仿宋" w:eastAsia="仿宋"/>
              </w:rPr>
            </w:pPr>
          </w:p>
        </w:tc>
      </w:tr>
      <w:tr w14:paraId="195F7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460" w:type="dxa"/>
            <w:shd w:val="clear" w:color="auto" w:fill="auto"/>
            <w:vAlign w:val="center"/>
          </w:tcPr>
          <w:p w14:paraId="465C105B">
            <w:pPr>
              <w:jc w:val="center"/>
              <w:rPr>
                <w:rFonts w:ascii="仿宋" w:hAnsi="仿宋" w:eastAsia="仿宋"/>
              </w:rPr>
            </w:pPr>
            <w:r>
              <w:rPr>
                <w:rFonts w:hint="eastAsia" w:ascii="仿宋" w:hAnsi="仿宋" w:eastAsia="仿宋"/>
              </w:rPr>
              <w:t>学期</w:t>
            </w:r>
          </w:p>
        </w:tc>
        <w:tc>
          <w:tcPr>
            <w:tcW w:w="1461" w:type="dxa"/>
            <w:gridSpan w:val="2"/>
            <w:shd w:val="clear" w:color="auto" w:fill="auto"/>
            <w:vAlign w:val="center"/>
          </w:tcPr>
          <w:p w14:paraId="54EC45DA">
            <w:pPr>
              <w:jc w:val="center"/>
              <w:rPr>
                <w:rFonts w:ascii="仿宋" w:hAnsi="仿宋" w:eastAsia="仿宋"/>
              </w:rPr>
            </w:pPr>
            <w:r>
              <w:rPr>
                <w:rFonts w:hint="eastAsia" w:ascii="仿宋" w:hAnsi="仿宋" w:eastAsia="仿宋"/>
              </w:rPr>
              <w:t>第二学期（春季）</w:t>
            </w:r>
          </w:p>
        </w:tc>
        <w:tc>
          <w:tcPr>
            <w:tcW w:w="1327" w:type="dxa"/>
            <w:shd w:val="clear" w:color="auto" w:fill="auto"/>
            <w:vAlign w:val="center"/>
          </w:tcPr>
          <w:p w14:paraId="0740B163">
            <w:pPr>
              <w:jc w:val="center"/>
              <w:rPr>
                <w:rFonts w:ascii="仿宋" w:hAnsi="仿宋" w:eastAsia="仿宋"/>
              </w:rPr>
            </w:pPr>
            <w:r>
              <w:rPr>
                <w:rFonts w:hint="eastAsia" w:ascii="仿宋" w:hAnsi="仿宋" w:eastAsia="仿宋"/>
              </w:rPr>
              <w:t>起始周</w:t>
            </w:r>
          </w:p>
        </w:tc>
        <w:tc>
          <w:tcPr>
            <w:tcW w:w="1596" w:type="dxa"/>
            <w:shd w:val="clear" w:color="auto" w:fill="auto"/>
            <w:vAlign w:val="center"/>
          </w:tcPr>
          <w:p w14:paraId="57E1D9BC">
            <w:pPr>
              <w:jc w:val="center"/>
              <w:rPr>
                <w:rFonts w:ascii="仿宋" w:hAnsi="仿宋" w:eastAsia="仿宋"/>
              </w:rPr>
            </w:pPr>
            <w:r>
              <w:rPr>
                <w:rFonts w:hint="eastAsia" w:ascii="仿宋" w:hAnsi="仿宋" w:eastAsia="仿宋"/>
              </w:rPr>
              <w:t>1</w:t>
            </w:r>
          </w:p>
        </w:tc>
        <w:tc>
          <w:tcPr>
            <w:tcW w:w="1461" w:type="dxa"/>
            <w:gridSpan w:val="2"/>
            <w:shd w:val="clear" w:color="auto" w:fill="auto"/>
            <w:vAlign w:val="center"/>
          </w:tcPr>
          <w:p w14:paraId="0E6AF909">
            <w:pPr>
              <w:jc w:val="center"/>
              <w:rPr>
                <w:rFonts w:ascii="仿宋" w:hAnsi="仿宋" w:eastAsia="仿宋"/>
              </w:rPr>
            </w:pPr>
            <w:r>
              <w:rPr>
                <w:rFonts w:hint="eastAsia" w:ascii="仿宋" w:hAnsi="仿宋" w:eastAsia="仿宋"/>
              </w:rPr>
              <w:t>结束周</w:t>
            </w:r>
          </w:p>
        </w:tc>
        <w:tc>
          <w:tcPr>
            <w:tcW w:w="1463" w:type="dxa"/>
            <w:shd w:val="clear" w:color="auto" w:fill="auto"/>
            <w:vAlign w:val="center"/>
          </w:tcPr>
          <w:p w14:paraId="38E08BC9">
            <w:pPr>
              <w:jc w:val="center"/>
              <w:rPr>
                <w:rFonts w:ascii="仿宋" w:hAnsi="仿宋" w:eastAsia="仿宋"/>
              </w:rPr>
            </w:pPr>
            <w:r>
              <w:rPr>
                <w:rFonts w:hint="eastAsia" w:ascii="仿宋" w:hAnsi="仿宋" w:eastAsia="仿宋"/>
              </w:rPr>
              <w:t>16</w:t>
            </w:r>
          </w:p>
        </w:tc>
      </w:tr>
      <w:tr w14:paraId="08D22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3" w:hRule="atLeast"/>
        </w:trPr>
        <w:tc>
          <w:tcPr>
            <w:tcW w:w="1730" w:type="dxa"/>
            <w:gridSpan w:val="2"/>
            <w:shd w:val="clear" w:color="auto" w:fill="auto"/>
            <w:vAlign w:val="center"/>
          </w:tcPr>
          <w:p w14:paraId="7F40DC2F">
            <w:pPr>
              <w:jc w:val="center"/>
              <w:rPr>
                <w:rFonts w:ascii="仿宋" w:hAnsi="仿宋" w:eastAsia="仿宋"/>
              </w:rPr>
            </w:pPr>
            <w:r>
              <w:rPr>
                <w:rFonts w:hint="eastAsia" w:ascii="仿宋" w:hAnsi="仿宋" w:eastAsia="仿宋"/>
              </w:rPr>
              <w:t>课题来源</w:t>
            </w:r>
          </w:p>
        </w:tc>
        <w:tc>
          <w:tcPr>
            <w:tcW w:w="7038" w:type="dxa"/>
            <w:gridSpan w:val="6"/>
            <w:shd w:val="clear" w:color="auto" w:fill="auto"/>
          </w:tcPr>
          <w:p w14:paraId="78DB1C1B">
            <w:pPr>
              <w:rPr>
                <w:rFonts w:ascii="仿宋" w:hAnsi="仿宋" w:eastAsia="仿宋" w:cstheme="minorBidi"/>
              </w:rPr>
            </w:pPr>
          </w:p>
        </w:tc>
      </w:tr>
      <w:tr w14:paraId="682322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9" w:hRule="atLeast"/>
        </w:trPr>
        <w:tc>
          <w:tcPr>
            <w:tcW w:w="1730" w:type="dxa"/>
            <w:gridSpan w:val="2"/>
            <w:shd w:val="clear" w:color="auto" w:fill="auto"/>
            <w:vAlign w:val="center"/>
          </w:tcPr>
          <w:p w14:paraId="01F85138">
            <w:pPr>
              <w:jc w:val="center"/>
              <w:rPr>
                <w:rFonts w:ascii="仿宋" w:hAnsi="仿宋" w:eastAsia="仿宋"/>
              </w:rPr>
            </w:pPr>
            <w:r>
              <w:rPr>
                <w:rFonts w:hint="eastAsia" w:ascii="仿宋" w:hAnsi="仿宋" w:eastAsia="仿宋"/>
              </w:rPr>
              <w:t>目的要求</w:t>
            </w:r>
          </w:p>
        </w:tc>
        <w:tc>
          <w:tcPr>
            <w:tcW w:w="7038" w:type="dxa"/>
            <w:gridSpan w:val="6"/>
            <w:shd w:val="clear" w:color="auto" w:fill="auto"/>
          </w:tcPr>
          <w:p w14:paraId="47144F0C">
            <w:pPr>
              <w:rPr>
                <w:rFonts w:ascii="仿宋" w:hAnsi="仿宋" w:eastAsia="仿宋"/>
              </w:rPr>
            </w:pPr>
            <w:r>
              <w:rPr>
                <w:rFonts w:ascii="仿宋" w:hAnsi="仿宋" w:eastAsia="仿宋"/>
              </w:rPr>
              <w:t>本课题旨在研究引入“质疑者”角色对多代理协作框架评估能力的影响，通过分析“质疑者”在识别答复中的疏漏、逻辑漏洞和偏见等方面的作用，探索如何优化多代理协作辩论中的角色设置，提升框架的评估全面性和一致性。具体要求如下：</w:t>
            </w:r>
          </w:p>
          <w:p w14:paraId="71295766">
            <w:pPr>
              <w:numPr>
                <w:ilvl w:val="0"/>
                <w:numId w:val="1"/>
              </w:numPr>
              <w:rPr>
                <w:rFonts w:ascii="仿宋" w:hAnsi="仿宋" w:eastAsia="仿宋"/>
              </w:rPr>
            </w:pPr>
            <w:r>
              <w:rPr>
                <w:rFonts w:ascii="仿宋" w:hAnsi="仿宋" w:eastAsia="仿宋"/>
              </w:rPr>
              <w:t>明确质疑者在多代理协作框架中的定位与任务。</w:t>
            </w:r>
          </w:p>
          <w:p w14:paraId="5A0ACE4D">
            <w:pPr>
              <w:numPr>
                <w:ilvl w:val="0"/>
                <w:numId w:val="1"/>
              </w:numPr>
              <w:rPr>
                <w:rFonts w:ascii="仿宋" w:hAnsi="仿宋" w:eastAsia="仿宋"/>
              </w:rPr>
            </w:pPr>
            <w:r>
              <w:rPr>
                <w:rFonts w:ascii="仿宋" w:hAnsi="仿宋" w:eastAsia="仿宋"/>
              </w:rPr>
              <w:t>探讨质疑者质疑内容的选取策略，包括但不限于答复中的疏漏、逻辑漏洞、偏见和任务符合性。</w:t>
            </w:r>
          </w:p>
          <w:p w14:paraId="6B994FB0">
            <w:pPr>
              <w:numPr>
                <w:ilvl w:val="0"/>
                <w:numId w:val="1"/>
              </w:numPr>
              <w:rPr>
                <w:rFonts w:ascii="仿宋" w:hAnsi="仿宋" w:eastAsia="仿宋"/>
              </w:rPr>
            </w:pPr>
            <w:r>
              <w:rPr>
                <w:rFonts w:ascii="仿宋" w:hAnsi="仿宋" w:eastAsia="仿宋"/>
              </w:rPr>
              <w:t>设计并实现质疑者角色的具体提示和交互逻辑。</w:t>
            </w:r>
          </w:p>
          <w:p w14:paraId="73930C78">
            <w:pPr>
              <w:numPr>
                <w:ilvl w:val="0"/>
                <w:numId w:val="1"/>
              </w:numPr>
              <w:rPr>
                <w:rFonts w:ascii="仿宋" w:hAnsi="仿宋" w:eastAsia="仿宋"/>
              </w:rPr>
            </w:pPr>
            <w:r>
              <w:rPr>
                <w:rFonts w:ascii="仿宋" w:hAnsi="仿宋" w:eastAsia="仿宋"/>
              </w:rPr>
              <w:t>通过实验验证质疑者的引入对整体评估性能的提升效果。</w:t>
            </w:r>
          </w:p>
          <w:p w14:paraId="2851E0A0">
            <w:pPr>
              <w:numPr>
                <w:ilvl w:val="0"/>
                <w:numId w:val="1"/>
              </w:numPr>
              <w:rPr>
                <w:rFonts w:ascii="仿宋" w:hAnsi="仿宋" w:eastAsia="仿宋"/>
              </w:rPr>
            </w:pPr>
            <w:r>
              <w:rPr>
                <w:rFonts w:ascii="仿宋" w:hAnsi="仿宋" w:eastAsia="仿宋"/>
              </w:rPr>
              <w:t>提供优化建议，为未来多代理协作评估框架设计提供参考。</w:t>
            </w:r>
          </w:p>
        </w:tc>
      </w:tr>
      <w:tr w14:paraId="6D58B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1730" w:type="dxa"/>
            <w:gridSpan w:val="2"/>
            <w:shd w:val="clear" w:color="auto" w:fill="auto"/>
            <w:vAlign w:val="center"/>
          </w:tcPr>
          <w:p w14:paraId="26EF9A89">
            <w:pPr>
              <w:jc w:val="center"/>
              <w:rPr>
                <w:rFonts w:ascii="仿宋" w:hAnsi="仿宋" w:eastAsia="仿宋"/>
              </w:rPr>
            </w:pPr>
            <w:r>
              <w:rPr>
                <w:rFonts w:hint="eastAsia" w:ascii="仿宋" w:hAnsi="仿宋" w:eastAsia="仿宋"/>
              </w:rPr>
              <w:t>主要内容</w:t>
            </w:r>
          </w:p>
        </w:tc>
        <w:tc>
          <w:tcPr>
            <w:tcW w:w="7038" w:type="dxa"/>
            <w:gridSpan w:val="6"/>
            <w:shd w:val="clear" w:color="auto" w:fill="auto"/>
          </w:tcPr>
          <w:p w14:paraId="5B52FA46">
            <w:pPr>
              <w:rPr>
                <w:rFonts w:ascii="仿宋" w:hAnsi="仿宋" w:eastAsia="仿宋"/>
              </w:rPr>
            </w:pPr>
            <w:r>
              <w:rPr>
                <w:rFonts w:ascii="仿宋" w:hAnsi="仿宋" w:eastAsia="仿宋"/>
              </w:rPr>
              <w:t>多代理协作框架近年来在提升文本生成任务评估质量方面显示出了巨大潜力。尤其是《CHATEVAL: TOWARDS BETTER LLM-BASED EVALUATORS THROUGH MULTI-AGENT DEBATE》这篇文章提出了通过多代理辩论改进大型语言模型评估能力的设想，该框架模拟了人类评估者协作辩论的过程，从而在评估的深度和广度上接近人类水平。</w:t>
            </w:r>
          </w:p>
          <w:p w14:paraId="195829DF">
            <w:pPr>
              <w:rPr>
                <w:rFonts w:ascii="仿宋" w:hAnsi="仿宋" w:eastAsia="仿宋"/>
              </w:rPr>
            </w:pPr>
            <w:r>
              <w:rPr>
                <w:rFonts w:ascii="仿宋" w:hAnsi="仿宋" w:eastAsia="仿宋"/>
              </w:rPr>
              <w:t>在此基础上，本课题进一步探讨多代理协作框架中的角色优化问题，特别是引入一个“质疑者”角色的可能性。质疑者的核心任务是专注于发现协作者讨论中的潜在问题，例如答复中的疏漏、逻辑漏洞以及偏见问题。通过对讨论内容进行批判性分析，质疑者可以提出针对性的质疑和修正意见，从而弥补框架在多视角协作中的不足。</w:t>
            </w:r>
          </w:p>
          <w:p w14:paraId="664B0CB4">
            <w:pPr>
              <w:rPr>
                <w:rFonts w:ascii="仿宋" w:hAnsi="仿宋" w:eastAsia="仿宋"/>
              </w:rPr>
            </w:pPr>
            <w:r>
              <w:rPr>
                <w:rFonts w:ascii="仿宋" w:hAnsi="仿宋" w:eastAsia="仿宋"/>
              </w:rPr>
              <w:t>本课题将从以下几个方面展开：</w:t>
            </w:r>
          </w:p>
          <w:p w14:paraId="6833342C">
            <w:pPr>
              <w:numPr>
                <w:ilvl w:val="0"/>
                <w:numId w:val="2"/>
              </w:numPr>
              <w:rPr>
                <w:rFonts w:ascii="仿宋" w:hAnsi="仿宋" w:eastAsia="仿宋"/>
              </w:rPr>
            </w:pPr>
            <w:r>
              <w:rPr>
                <w:rFonts w:ascii="仿宋" w:hAnsi="仿宋" w:eastAsia="仿宋"/>
                <w:b/>
                <w:bCs/>
              </w:rPr>
              <w:t>研究背景与问题定义：</w:t>
            </w:r>
            <w:r>
              <w:rPr>
                <w:rFonts w:ascii="仿宋" w:hAnsi="仿宋" w:eastAsia="仿宋"/>
              </w:rPr>
              <w:t xml:space="preserve"> 结合现有文献，分析当前多代理协作框架的优势与不足，尤其是其在评估全面性和一致性方面可能存在的问题。</w:t>
            </w:r>
          </w:p>
          <w:p w14:paraId="0F657393">
            <w:pPr>
              <w:numPr>
                <w:ilvl w:val="0"/>
                <w:numId w:val="2"/>
              </w:numPr>
              <w:rPr>
                <w:rFonts w:ascii="仿宋" w:hAnsi="仿宋" w:eastAsia="仿宋"/>
              </w:rPr>
            </w:pPr>
            <w:r>
              <w:rPr>
                <w:rFonts w:ascii="仿宋" w:hAnsi="仿宋" w:eastAsia="仿宋"/>
                <w:b/>
                <w:bCs/>
              </w:rPr>
              <w:t>质疑者角色的任务设计：</w:t>
            </w:r>
            <w:r>
              <w:rPr>
                <w:rFonts w:ascii="仿宋" w:hAnsi="仿宋" w:eastAsia="仿宋"/>
              </w:rPr>
              <w:t xml:space="preserve"> 基于提示工程的方法，为质疑者角色构建明确的任务描述，使其能够有效识别疏漏与偏见，并在协作过程中提出具有建设性的改进意见。</w:t>
            </w:r>
          </w:p>
          <w:p w14:paraId="420F7DFB">
            <w:pPr>
              <w:numPr>
                <w:ilvl w:val="0"/>
                <w:numId w:val="2"/>
              </w:numPr>
              <w:rPr>
                <w:rFonts w:ascii="仿宋" w:hAnsi="仿宋" w:eastAsia="仿宋"/>
              </w:rPr>
            </w:pPr>
            <w:r>
              <w:rPr>
                <w:rFonts w:ascii="仿宋" w:hAnsi="仿宋" w:eastAsia="仿宋"/>
                <w:b/>
                <w:bCs/>
              </w:rPr>
              <w:t>质疑者的行为模式设计：</w:t>
            </w:r>
            <w:r>
              <w:rPr>
                <w:rFonts w:ascii="仿宋" w:hAnsi="仿宋" w:eastAsia="仿宋"/>
              </w:rPr>
              <w:t xml:space="preserve"> 探讨质疑者在多代理协作框架中的交互逻辑，包括如何与其他协作者进行信息交换、何时介入讨论以及如何优化其质疑行为。</w:t>
            </w:r>
          </w:p>
          <w:p w14:paraId="6760ED22">
            <w:pPr>
              <w:numPr>
                <w:ilvl w:val="0"/>
                <w:numId w:val="2"/>
              </w:numPr>
              <w:rPr>
                <w:rFonts w:ascii="仿宋" w:hAnsi="仿宋" w:eastAsia="仿宋"/>
              </w:rPr>
            </w:pPr>
            <w:r>
              <w:rPr>
                <w:rFonts w:ascii="仿宋" w:hAnsi="仿宋" w:eastAsia="仿宋"/>
                <w:b/>
                <w:bCs/>
              </w:rPr>
              <w:t>实验验证：</w:t>
            </w:r>
            <w:r>
              <w:rPr>
                <w:rFonts w:ascii="仿宋" w:hAnsi="仿宋" w:eastAsia="仿宋"/>
              </w:rPr>
              <w:t xml:space="preserve"> 通过构建对比实验（如无质疑者框架 vs. 有质疑者框架），在开放性问题回答和文本生成评估任务中验证质疑者角色的有效性。分析其对评估准确性、一致性和覆盖率的影响。</w:t>
            </w:r>
          </w:p>
          <w:p w14:paraId="0C762139">
            <w:pPr>
              <w:numPr>
                <w:ilvl w:val="0"/>
                <w:numId w:val="2"/>
              </w:numPr>
              <w:rPr>
                <w:rFonts w:ascii="仿宋" w:hAnsi="仿宋" w:eastAsia="仿宋"/>
              </w:rPr>
            </w:pPr>
            <w:r>
              <w:rPr>
                <w:rFonts w:ascii="仿宋" w:hAnsi="仿宋" w:eastAsia="仿宋"/>
                <w:b/>
                <w:bCs/>
              </w:rPr>
              <w:t>结果分析与优化建议：</w:t>
            </w:r>
            <w:r>
              <w:rPr>
                <w:rFonts w:ascii="仿宋" w:hAnsi="仿宋" w:eastAsia="仿宋"/>
              </w:rPr>
              <w:t xml:space="preserve"> 通过实验结果总结质疑者角色的实际作用，讨论其可能的副作用（如过度质疑或偏离任务目标），并提出改进建议。</w:t>
            </w:r>
          </w:p>
          <w:p w14:paraId="2AE54274">
            <w:pPr>
              <w:rPr>
                <w:rFonts w:ascii="仿宋" w:hAnsi="仿宋" w:eastAsia="仿宋"/>
              </w:rPr>
            </w:pPr>
            <w:r>
              <w:rPr>
                <w:rFonts w:ascii="仿宋" w:hAnsi="仿宋" w:eastAsia="仿宋"/>
              </w:rPr>
              <w:t>本课题的研究不仅可以丰富多代理协作框架的角色设置，还能为基于大型语言模型的自动化评估提供新的思路和技术支持。</w:t>
            </w:r>
          </w:p>
          <w:p w14:paraId="7B184695">
            <w:pPr>
              <w:rPr>
                <w:rFonts w:ascii="仿宋" w:hAnsi="仿宋" w:eastAsia="仿宋"/>
              </w:rPr>
            </w:pPr>
          </w:p>
        </w:tc>
      </w:tr>
      <w:tr w14:paraId="5BC04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1" w:hRule="atLeast"/>
        </w:trPr>
        <w:tc>
          <w:tcPr>
            <w:tcW w:w="1730" w:type="dxa"/>
            <w:gridSpan w:val="2"/>
            <w:shd w:val="clear" w:color="auto" w:fill="auto"/>
            <w:vAlign w:val="center"/>
          </w:tcPr>
          <w:p w14:paraId="7EF941A8">
            <w:pPr>
              <w:jc w:val="center"/>
              <w:rPr>
                <w:rFonts w:ascii="仿宋" w:hAnsi="仿宋" w:eastAsia="仿宋"/>
              </w:rPr>
            </w:pPr>
            <w:r>
              <w:rPr>
                <w:rFonts w:hint="eastAsia" w:ascii="仿宋" w:hAnsi="仿宋" w:eastAsia="仿宋"/>
              </w:rPr>
              <w:t>预期目标</w:t>
            </w:r>
          </w:p>
        </w:tc>
        <w:tc>
          <w:tcPr>
            <w:tcW w:w="7038" w:type="dxa"/>
            <w:gridSpan w:val="6"/>
            <w:shd w:val="clear" w:color="auto" w:fill="auto"/>
          </w:tcPr>
          <w:p w14:paraId="3B58CD88">
            <w:pPr>
              <w:rPr>
                <w:rFonts w:ascii="仿宋" w:hAnsi="仿宋" w:eastAsia="仿宋"/>
              </w:rPr>
            </w:pPr>
          </w:p>
          <w:p w14:paraId="0EC48799">
            <w:pPr>
              <w:numPr>
                <w:ilvl w:val="0"/>
                <w:numId w:val="3"/>
              </w:numPr>
              <w:rPr>
                <w:rFonts w:ascii="仿宋" w:hAnsi="仿宋" w:eastAsia="仿宋"/>
              </w:rPr>
            </w:pPr>
            <w:r>
              <w:rPr>
                <w:rFonts w:ascii="仿宋" w:hAnsi="仿宋" w:eastAsia="仿宋"/>
              </w:rPr>
              <w:t>设计并实现适合多代理协作框架的质疑者角色提示和交互逻辑。</w:t>
            </w:r>
          </w:p>
          <w:p w14:paraId="2492AAB6">
            <w:pPr>
              <w:numPr>
                <w:ilvl w:val="0"/>
                <w:numId w:val="3"/>
              </w:numPr>
              <w:rPr>
                <w:rFonts w:ascii="仿宋" w:hAnsi="仿宋" w:eastAsia="仿宋"/>
              </w:rPr>
            </w:pPr>
            <w:r>
              <w:rPr>
                <w:rFonts w:ascii="仿宋" w:hAnsi="仿宋" w:eastAsia="仿宋"/>
              </w:rPr>
              <w:t>通过实验验证质疑者角色对框架评估全面性和一致性的显著提升。</w:t>
            </w:r>
          </w:p>
          <w:p w14:paraId="29ABCF73">
            <w:pPr>
              <w:numPr>
                <w:ilvl w:val="0"/>
                <w:numId w:val="3"/>
              </w:numPr>
              <w:rPr>
                <w:rFonts w:ascii="仿宋" w:hAnsi="仿宋" w:eastAsia="仿宋"/>
              </w:rPr>
            </w:pPr>
            <w:r>
              <w:rPr>
                <w:rFonts w:ascii="仿宋" w:hAnsi="仿宋" w:eastAsia="仿宋"/>
              </w:rPr>
              <w:t>提供系统化的优化策略，为多代理协作框架的设计与应用提供理论与实践支持。</w:t>
            </w:r>
          </w:p>
          <w:p w14:paraId="7EBAB50A">
            <w:pPr>
              <w:numPr>
                <w:ilvl w:val="0"/>
                <w:numId w:val="3"/>
              </w:numPr>
              <w:rPr>
                <w:rFonts w:ascii="仿宋" w:hAnsi="仿宋" w:eastAsia="仿宋"/>
              </w:rPr>
            </w:pPr>
            <w:r>
              <w:rPr>
                <w:rFonts w:ascii="仿宋" w:hAnsi="仿宋" w:eastAsia="仿宋"/>
              </w:rPr>
              <w:t>发表相关研究成果，推动LLM自动化评估方法的发展。</w:t>
            </w:r>
          </w:p>
        </w:tc>
      </w:tr>
      <w:tr w14:paraId="5B393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1730" w:type="dxa"/>
            <w:gridSpan w:val="2"/>
            <w:shd w:val="clear" w:color="auto" w:fill="auto"/>
            <w:vAlign w:val="center"/>
          </w:tcPr>
          <w:p w14:paraId="79A0E231">
            <w:pPr>
              <w:jc w:val="center"/>
              <w:rPr>
                <w:rFonts w:ascii="仿宋" w:hAnsi="仿宋" w:eastAsia="仿宋"/>
              </w:rPr>
            </w:pPr>
            <w:r>
              <w:rPr>
                <w:rFonts w:hint="eastAsia" w:ascii="仿宋" w:hAnsi="仿宋" w:eastAsia="仿宋"/>
              </w:rPr>
              <w:t>经费</w:t>
            </w:r>
          </w:p>
        </w:tc>
        <w:tc>
          <w:tcPr>
            <w:tcW w:w="7038" w:type="dxa"/>
            <w:gridSpan w:val="6"/>
            <w:shd w:val="clear" w:color="auto" w:fill="auto"/>
          </w:tcPr>
          <w:p w14:paraId="2C1275AD">
            <w:pPr>
              <w:rPr>
                <w:rFonts w:ascii="仿宋" w:hAnsi="仿宋" w:eastAsia="仿宋"/>
              </w:rPr>
            </w:pPr>
          </w:p>
        </w:tc>
      </w:tr>
      <w:tr w14:paraId="0BBEC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1730" w:type="dxa"/>
            <w:gridSpan w:val="2"/>
            <w:shd w:val="clear" w:color="auto" w:fill="auto"/>
            <w:vAlign w:val="center"/>
          </w:tcPr>
          <w:p w14:paraId="3DB4114D">
            <w:pPr>
              <w:jc w:val="center"/>
              <w:rPr>
                <w:rFonts w:ascii="仿宋" w:hAnsi="仿宋" w:eastAsia="仿宋"/>
              </w:rPr>
            </w:pPr>
            <w:r>
              <w:rPr>
                <w:rFonts w:hint="eastAsia" w:ascii="仿宋" w:hAnsi="仿宋" w:eastAsia="仿宋"/>
              </w:rPr>
              <w:t>参考资料</w:t>
            </w:r>
          </w:p>
        </w:tc>
        <w:tc>
          <w:tcPr>
            <w:tcW w:w="7038" w:type="dxa"/>
            <w:gridSpan w:val="6"/>
            <w:shd w:val="clear" w:color="auto" w:fill="auto"/>
          </w:tcPr>
          <w:p w14:paraId="4008978E">
            <w:pPr>
              <w:rPr>
                <w:rFonts w:ascii="仿宋" w:hAnsi="仿宋" w:eastAsia="仿宋"/>
              </w:rPr>
            </w:pPr>
          </w:p>
          <w:p w14:paraId="24AB0199">
            <w:pPr>
              <w:rPr>
                <w:rFonts w:hint="eastAsia" w:ascii="仿宋" w:hAnsi="仿宋" w:eastAsia="仿宋"/>
              </w:rPr>
            </w:pPr>
            <w:r>
              <w:rPr>
                <w:rFonts w:ascii="仿宋" w:hAnsi="仿宋" w:eastAsia="仿宋"/>
              </w:rPr>
              <w:t>ChatEval: Towards Better LLM-based Evaluators through Multi-Agent Debate</w:t>
            </w:r>
            <w:r>
              <w:rPr>
                <w:rFonts w:hint="eastAsia" w:ascii="仿宋" w:hAnsi="仿宋" w:eastAsia="仿宋"/>
              </w:rPr>
              <w:t>, ICLR 2024</w:t>
            </w:r>
          </w:p>
          <w:p w14:paraId="4F690A58">
            <w:pPr>
              <w:rPr>
                <w:rFonts w:ascii="仿宋" w:hAnsi="仿宋" w:eastAsia="仿宋"/>
              </w:rPr>
            </w:pPr>
          </w:p>
        </w:tc>
      </w:tr>
      <w:tr w14:paraId="06962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1" w:hRule="atLeast"/>
        </w:trPr>
        <w:tc>
          <w:tcPr>
            <w:tcW w:w="1730" w:type="dxa"/>
            <w:gridSpan w:val="2"/>
            <w:shd w:val="clear" w:color="auto" w:fill="auto"/>
            <w:vAlign w:val="center"/>
          </w:tcPr>
          <w:p w14:paraId="20F64B26">
            <w:pPr>
              <w:jc w:val="center"/>
              <w:rPr>
                <w:rFonts w:ascii="仿宋" w:hAnsi="仿宋" w:eastAsia="仿宋"/>
              </w:rPr>
            </w:pPr>
            <w:r>
              <w:rPr>
                <w:rFonts w:hint="eastAsia" w:ascii="仿宋" w:hAnsi="仿宋" w:eastAsia="仿宋"/>
              </w:rPr>
              <w:t>实验加工</w:t>
            </w:r>
          </w:p>
          <w:p w14:paraId="23ADBA76">
            <w:pPr>
              <w:jc w:val="center"/>
              <w:rPr>
                <w:rFonts w:ascii="仿宋" w:hAnsi="仿宋" w:eastAsia="仿宋"/>
              </w:rPr>
            </w:pPr>
            <w:r>
              <w:rPr>
                <w:rFonts w:hint="eastAsia" w:ascii="仿宋" w:hAnsi="仿宋" w:eastAsia="仿宋"/>
              </w:rPr>
              <w:t>条件</w:t>
            </w:r>
          </w:p>
        </w:tc>
        <w:tc>
          <w:tcPr>
            <w:tcW w:w="7038" w:type="dxa"/>
            <w:gridSpan w:val="6"/>
            <w:shd w:val="clear" w:color="auto" w:fill="auto"/>
          </w:tcPr>
          <w:p w14:paraId="5AD7098C">
            <w:pPr>
              <w:rPr>
                <w:rFonts w:ascii="仿宋" w:hAnsi="仿宋" w:eastAsia="仿宋"/>
              </w:rPr>
            </w:pPr>
          </w:p>
        </w:tc>
      </w:tr>
    </w:tbl>
    <w:p w14:paraId="487E6D06">
      <w:pPr>
        <w:rPr>
          <w:rFonts w:ascii="仿宋" w:hAnsi="仿宋" w:eastAsia="仿宋"/>
        </w:rPr>
      </w:pPr>
    </w:p>
    <w:p w14:paraId="35296AB4">
      <w:pPr>
        <w:spacing w:after="156"/>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PMingLiU">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Angsana New">
    <w:altName w:val="Microsoft Sans Serif"/>
    <w:panose1 w:val="02020603050405020304"/>
    <w:charset w:val="DE"/>
    <w:family w:val="roman"/>
    <w:pitch w:val="default"/>
    <w:sig w:usb0="00000000" w:usb1="00000000" w:usb2="00000000" w:usb3="00000000" w:csb0="00010001" w:csb1="00000000"/>
  </w:font>
  <w:font w:name="Cordia New">
    <w:altName w:val="Microsoft Sans Serif"/>
    <w:panose1 w:val="020B0304020202020204"/>
    <w:charset w:val="DE"/>
    <w:family w:val="swiss"/>
    <w:pitch w:val="default"/>
    <w:sig w:usb0="00000000" w:usb1="00000000" w:usb2="00000000" w:usb3="00000000" w:csb0="00010001"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E7459"/>
    <w:multiLevelType w:val="multilevel"/>
    <w:tmpl w:val="082E74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3336960"/>
    <w:multiLevelType w:val="multilevel"/>
    <w:tmpl w:val="333369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F31461C"/>
    <w:multiLevelType w:val="multilevel"/>
    <w:tmpl w:val="4F3146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3D9"/>
    <w:rsid w:val="00030CAA"/>
    <w:rsid w:val="000C74AC"/>
    <w:rsid w:val="002B13D9"/>
    <w:rsid w:val="002D15F1"/>
    <w:rsid w:val="003E241D"/>
    <w:rsid w:val="00497902"/>
    <w:rsid w:val="00640362"/>
    <w:rsid w:val="006A38F9"/>
    <w:rsid w:val="006B0E35"/>
    <w:rsid w:val="00733A50"/>
    <w:rsid w:val="007A4733"/>
    <w:rsid w:val="0081135B"/>
    <w:rsid w:val="008E280E"/>
    <w:rsid w:val="009319AF"/>
    <w:rsid w:val="009A2409"/>
    <w:rsid w:val="009A3540"/>
    <w:rsid w:val="00AC7AAC"/>
    <w:rsid w:val="00BD3958"/>
    <w:rsid w:val="00C96AB9"/>
    <w:rsid w:val="00D266AF"/>
    <w:rsid w:val="00DF1722"/>
    <w:rsid w:val="00E8358C"/>
    <w:rsid w:val="67D252A8"/>
  </w:rsids>
  <m:mathPr>
    <m:mathFont m:val="Cambria Math"/>
    <m:brkBin m:val="before"/>
    <m:brkBinSub m:val="--"/>
    <m:smallFrac m:val="0"/>
    <m:dispDef/>
    <m:lMargin m:val="0"/>
    <m:rMargin m:val="0"/>
    <m:defJc m:val="centerGroup"/>
    <m:wrapIndent m:val="1440"/>
    <m:intLim m:val="subSup"/>
    <m:naryLim m:val="undOvr"/>
  </m:mathPr>
  <w:attachedSchema w:val="http://www.wps.cn/officeDocument/2013/wpsCustomData"/>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PMingLiU" w:cs="Times New Roman"/>
      <w:kern w:val="2"/>
      <w:sz w:val="24"/>
      <w:szCs w:val="24"/>
      <w:lang w:val="en-US" w:eastAsia="zh-CN" w:bidi="th-TH"/>
    </w:rPr>
  </w:style>
  <w:style w:type="character" w:default="1" w:styleId="5">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0"/>
    <w:pPr>
      <w:snapToGrid w:val="0"/>
    </w:pPr>
    <w:rPr>
      <w:sz w:val="18"/>
      <w:szCs w:val="18"/>
    </w:rPr>
  </w:style>
  <w:style w:type="paragraph" w:styleId="3">
    <w:name w:val="header"/>
    <w:basedOn w:val="1"/>
    <w:link w:val="6"/>
    <w:qFormat/>
    <w:uiPriority w:val="0"/>
    <w:pPr>
      <w:pBdr>
        <w:bottom w:val="single" w:color="auto" w:sz="6" w:space="1"/>
      </w:pBdr>
      <w:snapToGrid w:val="0"/>
      <w:jc w:val="center"/>
    </w:pPr>
    <w:rPr>
      <w:sz w:val="18"/>
      <w:szCs w:val="18"/>
    </w:rPr>
  </w:style>
  <w:style w:type="character" w:customStyle="1" w:styleId="6">
    <w:name w:val="Header Char"/>
    <w:link w:val="3"/>
    <w:uiPriority w:val="0"/>
    <w:rPr>
      <w:rFonts w:hint="default" w:ascii="Times New Roman" w:hAnsi="Times New Roman" w:eastAsia="PMingLiU" w:cs="Times New Roman"/>
      <w:sz w:val="18"/>
      <w:szCs w:val="18"/>
      <w:lang w:eastAsia="zh-TW"/>
    </w:rPr>
  </w:style>
  <w:style w:type="character" w:customStyle="1" w:styleId="7">
    <w:name w:val="Footer Char"/>
    <w:link w:val="2"/>
    <w:qFormat/>
    <w:uiPriority w:val="0"/>
    <w:rPr>
      <w:rFonts w:hint="default" w:ascii="Times New Roman" w:hAnsi="Times New Roman" w:eastAsia="PMingLiU" w:cs="Times New Roman"/>
      <w:sz w:val="18"/>
      <w:szCs w:val="18"/>
      <w:lang w:eastAsia="zh-T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1151</Words>
  <Characters>1336</Characters>
  <Lines>10</Lines>
  <Paragraphs>2</Paragraphs>
  <TotalTime>25</TotalTime>
  <ScaleCrop>false</ScaleCrop>
  <LinksUpToDate>false</LinksUpToDate>
  <CharactersWithSpaces>1367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2024-01-09T06:51:00Z</dcterms:created>
  <dc:creator>Administrator</dc:creator>
  <cp:lastModifiedBy>言若</cp:lastModifiedBy>
  <dcterms:modified xsi:type="dcterms:W3CDTF">2024-12-11T02:56:16Z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F4F45744431E477EB384A3B90D2ECEF8_13</vt:lpwstr>
  </property>
</Properties>
</file>