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3"/>
        <w:tblW w:w="10260" w:type="dxa"/>
        <w:tblInd w:w="-7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39"/>
        <w:gridCol w:w="301"/>
        <w:gridCol w:w="2039"/>
        <w:gridCol w:w="1080"/>
        <w:gridCol w:w="1842"/>
        <w:gridCol w:w="1134"/>
        <w:gridCol w:w="2425"/>
      </w:tblGrid>
      <w:tr w14:paraId="65286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trPr>
        <w:tc>
          <w:tcPr>
            <w:tcW w:w="10260" w:type="dxa"/>
            <w:gridSpan w:val="7"/>
            <w:tcBorders>
              <w:top w:val="single" w:color="auto" w:sz="12" w:space="0"/>
              <w:bottom w:val="single" w:color="auto" w:sz="6" w:space="0"/>
            </w:tcBorders>
            <w:shd w:val="clear" w:color="auto" w:fill="E0E0E0"/>
            <w:noWrap w:val="0"/>
            <w:vAlign w:val="center"/>
          </w:tcPr>
          <w:p w14:paraId="4EDD3205">
            <w:pPr>
              <w:spacing w:after="0"/>
              <w:jc w:val="center"/>
              <w:rPr>
                <w:rFonts w:hint="eastAsia"/>
                <w:b/>
                <w:sz w:val="21"/>
                <w:szCs w:val="21"/>
              </w:rPr>
            </w:pPr>
            <w:bookmarkStart w:id="29" w:name="_GoBack"/>
            <w:bookmarkEnd w:id="29"/>
            <w:r>
              <w:rPr>
                <w:rFonts w:hint="eastAsia"/>
                <w:b/>
                <w:sz w:val="21"/>
                <w:szCs w:val="21"/>
              </w:rPr>
              <w:t>需求基本信息</w:t>
            </w:r>
          </w:p>
        </w:tc>
      </w:tr>
      <w:tr w14:paraId="23508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87" w:hRule="atLeast"/>
        </w:trPr>
        <w:tc>
          <w:tcPr>
            <w:tcW w:w="1740" w:type="dxa"/>
            <w:gridSpan w:val="2"/>
            <w:tcBorders>
              <w:top w:val="single" w:color="auto" w:sz="6" w:space="0"/>
            </w:tcBorders>
            <w:noWrap w:val="0"/>
            <w:vAlign w:val="center"/>
          </w:tcPr>
          <w:p w14:paraId="0D89BC9F">
            <w:pPr>
              <w:pStyle w:val="11"/>
              <w:numPr>
                <w:ilvl w:val="0"/>
                <w:numId w:val="0"/>
              </w:numPr>
              <w:spacing w:after="0"/>
              <w:ind w:left="284" w:hanging="284"/>
              <w:jc w:val="center"/>
              <w:rPr>
                <w:rFonts w:hint="eastAsia"/>
                <w:b/>
                <w:sz w:val="20"/>
              </w:rPr>
            </w:pPr>
            <w:r>
              <w:rPr>
                <w:rFonts w:hint="eastAsia"/>
                <w:b/>
                <w:sz w:val="20"/>
              </w:rPr>
              <w:t>需求名称</w:t>
            </w:r>
          </w:p>
        </w:tc>
        <w:tc>
          <w:tcPr>
            <w:tcW w:w="8520" w:type="dxa"/>
            <w:gridSpan w:val="5"/>
            <w:tcBorders>
              <w:top w:val="single" w:color="auto" w:sz="6" w:space="0"/>
            </w:tcBorders>
            <w:noWrap w:val="0"/>
            <w:vAlign w:val="center"/>
          </w:tcPr>
          <w:p w14:paraId="439AA8F3">
            <w:pPr>
              <w:pStyle w:val="11"/>
              <w:numPr>
                <w:ilvl w:val="0"/>
                <w:numId w:val="0"/>
              </w:numPr>
              <w:spacing w:after="0"/>
              <w:ind w:left="284" w:hanging="284"/>
              <w:jc w:val="left"/>
              <w:rPr>
                <w:rFonts w:hint="eastAsia"/>
                <w:b/>
                <w:sz w:val="20"/>
              </w:rPr>
            </w:pPr>
            <w:r>
              <w:rPr>
                <w:rFonts w:hint="eastAsia"/>
                <w:b/>
                <w:sz w:val="20"/>
                <w:lang w:val="en-US" w:eastAsia="zh-CN"/>
              </w:rPr>
              <w:t>支付中台</w:t>
            </w:r>
            <w:r>
              <w:rPr>
                <w:rFonts w:hint="eastAsia"/>
                <w:b/>
                <w:sz w:val="20"/>
              </w:rPr>
              <w:t>系统配合新核心收付费流程改造</w:t>
            </w:r>
            <w:r>
              <w:rPr>
                <w:rFonts w:hint="eastAsia"/>
                <w:b/>
                <w:sz w:val="20"/>
                <w:lang w:val="en-US" w:eastAsia="zh-CN"/>
              </w:rPr>
              <w:t>需求</w:t>
            </w:r>
          </w:p>
        </w:tc>
      </w:tr>
      <w:tr w14:paraId="5E006F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9" w:hRule="atLeast"/>
        </w:trPr>
        <w:tc>
          <w:tcPr>
            <w:tcW w:w="1740" w:type="dxa"/>
            <w:gridSpan w:val="2"/>
            <w:tcBorders>
              <w:top w:val="single" w:color="auto" w:sz="6" w:space="0"/>
              <w:bottom w:val="single" w:color="auto" w:sz="4" w:space="0"/>
            </w:tcBorders>
            <w:noWrap w:val="0"/>
            <w:vAlign w:val="center"/>
          </w:tcPr>
          <w:p w14:paraId="7E6F538F">
            <w:pPr>
              <w:pStyle w:val="11"/>
              <w:numPr>
                <w:ilvl w:val="0"/>
                <w:numId w:val="0"/>
              </w:numPr>
              <w:spacing w:after="0"/>
              <w:ind w:left="284" w:hanging="284"/>
              <w:jc w:val="center"/>
              <w:rPr>
                <w:rFonts w:hint="eastAsia"/>
                <w:b/>
                <w:sz w:val="20"/>
              </w:rPr>
            </w:pPr>
            <w:r>
              <w:rPr>
                <w:rFonts w:hint="eastAsia"/>
                <w:b/>
                <w:sz w:val="20"/>
              </w:rPr>
              <w:t>提出部门</w:t>
            </w:r>
          </w:p>
        </w:tc>
        <w:tc>
          <w:tcPr>
            <w:tcW w:w="2039" w:type="dxa"/>
            <w:tcBorders>
              <w:top w:val="single" w:color="auto" w:sz="6" w:space="0"/>
              <w:bottom w:val="single" w:color="auto" w:sz="4" w:space="0"/>
              <w:right w:val="single" w:color="auto" w:sz="4" w:space="0"/>
            </w:tcBorders>
            <w:noWrap w:val="0"/>
            <w:vAlign w:val="center"/>
          </w:tcPr>
          <w:p w14:paraId="20AA5B61">
            <w:pPr>
              <w:pStyle w:val="11"/>
              <w:numPr>
                <w:ilvl w:val="0"/>
                <w:numId w:val="0"/>
              </w:numPr>
              <w:spacing w:after="0"/>
              <w:ind w:left="283" w:hanging="283"/>
              <w:rPr>
                <w:rFonts w:hint="default"/>
                <w:bCs/>
                <w:sz w:val="20"/>
                <w:lang w:val="en-US"/>
              </w:rPr>
            </w:pPr>
            <w:r>
              <w:rPr>
                <w:rFonts w:hint="eastAsia"/>
                <w:bCs/>
                <w:sz w:val="20"/>
                <w:lang w:val="en-US" w:eastAsia="zh-CN"/>
              </w:rPr>
              <w:t>数字零售金融业务部</w:t>
            </w:r>
          </w:p>
        </w:tc>
        <w:tc>
          <w:tcPr>
            <w:tcW w:w="1080" w:type="dxa"/>
            <w:tcBorders>
              <w:top w:val="single" w:color="auto" w:sz="6" w:space="0"/>
              <w:left w:val="single" w:color="auto" w:sz="4" w:space="0"/>
              <w:bottom w:val="single" w:color="auto" w:sz="4" w:space="0"/>
            </w:tcBorders>
            <w:noWrap w:val="0"/>
            <w:vAlign w:val="center"/>
          </w:tcPr>
          <w:p w14:paraId="0F1006C7">
            <w:pPr>
              <w:pStyle w:val="11"/>
              <w:numPr>
                <w:ilvl w:val="0"/>
                <w:numId w:val="0"/>
              </w:numPr>
              <w:spacing w:after="0"/>
              <w:ind w:left="284" w:hanging="284"/>
              <w:jc w:val="center"/>
              <w:rPr>
                <w:rFonts w:hint="eastAsia"/>
                <w:b/>
                <w:sz w:val="20"/>
              </w:rPr>
            </w:pPr>
            <w:r>
              <w:rPr>
                <w:rFonts w:hint="eastAsia"/>
                <w:b/>
                <w:sz w:val="20"/>
              </w:rPr>
              <w:t>联系人</w:t>
            </w:r>
          </w:p>
        </w:tc>
        <w:tc>
          <w:tcPr>
            <w:tcW w:w="1842" w:type="dxa"/>
            <w:tcBorders>
              <w:top w:val="single" w:color="auto" w:sz="6" w:space="0"/>
              <w:bottom w:val="single" w:color="auto" w:sz="4" w:space="0"/>
            </w:tcBorders>
            <w:noWrap w:val="0"/>
            <w:vAlign w:val="center"/>
          </w:tcPr>
          <w:p w14:paraId="69A67DA2">
            <w:pPr>
              <w:pStyle w:val="11"/>
              <w:numPr>
                <w:ilvl w:val="0"/>
                <w:numId w:val="0"/>
              </w:numPr>
              <w:spacing w:after="0"/>
              <w:ind w:left="283" w:hanging="283"/>
              <w:rPr>
                <w:rFonts w:hint="default" w:eastAsia="宋体"/>
                <w:sz w:val="20"/>
                <w:lang w:val="en-US" w:eastAsia="zh-CN"/>
              </w:rPr>
            </w:pPr>
            <w:r>
              <w:rPr>
                <w:rFonts w:hint="eastAsia"/>
                <w:sz w:val="20"/>
                <w:lang w:val="en-US" w:eastAsia="zh-CN"/>
              </w:rPr>
              <w:t>黄馨检</w:t>
            </w:r>
          </w:p>
        </w:tc>
        <w:tc>
          <w:tcPr>
            <w:tcW w:w="1134" w:type="dxa"/>
            <w:tcBorders>
              <w:top w:val="single" w:color="auto" w:sz="6" w:space="0"/>
              <w:bottom w:val="single" w:color="auto" w:sz="4" w:space="0"/>
            </w:tcBorders>
            <w:noWrap w:val="0"/>
            <w:vAlign w:val="center"/>
          </w:tcPr>
          <w:p w14:paraId="0F4E14A5">
            <w:pPr>
              <w:pStyle w:val="11"/>
              <w:numPr>
                <w:ilvl w:val="0"/>
                <w:numId w:val="0"/>
              </w:numPr>
              <w:spacing w:after="0"/>
              <w:ind w:left="284" w:hanging="284"/>
              <w:jc w:val="center"/>
              <w:rPr>
                <w:rFonts w:hint="eastAsia"/>
                <w:b/>
                <w:sz w:val="20"/>
              </w:rPr>
            </w:pPr>
            <w:r>
              <w:rPr>
                <w:rFonts w:hint="eastAsia"/>
                <w:b/>
                <w:sz w:val="20"/>
              </w:rPr>
              <w:t>联系电话</w:t>
            </w:r>
          </w:p>
        </w:tc>
        <w:tc>
          <w:tcPr>
            <w:tcW w:w="2425" w:type="dxa"/>
            <w:tcBorders>
              <w:top w:val="single" w:color="auto" w:sz="6" w:space="0"/>
              <w:bottom w:val="single" w:color="auto" w:sz="4" w:space="0"/>
            </w:tcBorders>
            <w:noWrap w:val="0"/>
            <w:vAlign w:val="center"/>
          </w:tcPr>
          <w:p w14:paraId="41FA5AD5">
            <w:pPr>
              <w:pStyle w:val="11"/>
              <w:numPr>
                <w:ilvl w:val="0"/>
                <w:numId w:val="0"/>
              </w:numPr>
              <w:spacing w:after="0"/>
              <w:ind w:left="283" w:hanging="283"/>
              <w:rPr>
                <w:rFonts w:hint="eastAsia"/>
                <w:b/>
                <w:sz w:val="20"/>
              </w:rPr>
            </w:pPr>
          </w:p>
        </w:tc>
      </w:tr>
      <w:tr w14:paraId="6C5EA1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34" w:hRule="atLeast"/>
        </w:trPr>
        <w:tc>
          <w:tcPr>
            <w:tcW w:w="1740" w:type="dxa"/>
            <w:gridSpan w:val="2"/>
            <w:tcBorders>
              <w:top w:val="single" w:color="auto" w:sz="4" w:space="0"/>
            </w:tcBorders>
            <w:noWrap w:val="0"/>
            <w:vAlign w:val="center"/>
          </w:tcPr>
          <w:p w14:paraId="6B26B30F">
            <w:pPr>
              <w:pStyle w:val="11"/>
              <w:numPr>
                <w:ilvl w:val="0"/>
                <w:numId w:val="0"/>
              </w:numPr>
              <w:spacing w:after="0"/>
              <w:ind w:left="284" w:hanging="284"/>
              <w:jc w:val="center"/>
              <w:rPr>
                <w:rFonts w:hint="eastAsia"/>
                <w:b/>
                <w:sz w:val="20"/>
              </w:rPr>
            </w:pPr>
            <w:r>
              <w:rPr>
                <w:rFonts w:hint="eastAsia"/>
                <w:b/>
                <w:sz w:val="20"/>
              </w:rPr>
              <w:t>配合部门</w:t>
            </w:r>
          </w:p>
        </w:tc>
        <w:tc>
          <w:tcPr>
            <w:tcW w:w="4961" w:type="dxa"/>
            <w:gridSpan w:val="3"/>
            <w:tcBorders>
              <w:top w:val="single" w:color="auto" w:sz="4" w:space="0"/>
            </w:tcBorders>
            <w:noWrap w:val="0"/>
            <w:vAlign w:val="center"/>
          </w:tcPr>
          <w:p w14:paraId="6814D058">
            <w:pPr>
              <w:pStyle w:val="11"/>
              <w:numPr>
                <w:ilvl w:val="0"/>
                <w:numId w:val="0"/>
              </w:numPr>
              <w:spacing w:after="0"/>
              <w:ind w:left="-99" w:leftChars="-45" w:firstLine="80" w:firstLineChars="50"/>
              <w:rPr>
                <w:rFonts w:hint="default"/>
                <w:lang w:val="en-US"/>
              </w:rPr>
            </w:pPr>
            <w:r>
              <w:rPr>
                <w:rFonts w:hint="eastAsia"/>
                <w:i/>
                <w:color w:val="00B0F0"/>
                <w:sz w:val="16"/>
                <w:szCs w:val="16"/>
                <w:lang w:val="en-US" w:eastAsia="zh-CN"/>
              </w:rPr>
              <w:t>信息科技部、运营管理部</w:t>
            </w:r>
          </w:p>
        </w:tc>
        <w:tc>
          <w:tcPr>
            <w:tcW w:w="1134" w:type="dxa"/>
            <w:tcBorders>
              <w:top w:val="single" w:color="auto" w:sz="4" w:space="0"/>
            </w:tcBorders>
            <w:noWrap w:val="0"/>
            <w:vAlign w:val="center"/>
          </w:tcPr>
          <w:p w14:paraId="3BED331E">
            <w:pPr>
              <w:pStyle w:val="11"/>
              <w:numPr>
                <w:ilvl w:val="0"/>
                <w:numId w:val="0"/>
              </w:numPr>
              <w:spacing w:after="0"/>
              <w:ind w:left="284" w:hanging="284"/>
              <w:jc w:val="center"/>
              <w:rPr>
                <w:rFonts w:hint="eastAsia"/>
                <w:b/>
                <w:sz w:val="20"/>
              </w:rPr>
            </w:pPr>
            <w:r>
              <w:rPr>
                <w:rFonts w:hint="eastAsia"/>
                <w:b/>
                <w:sz w:val="20"/>
              </w:rPr>
              <w:t>优先级</w:t>
            </w:r>
          </w:p>
        </w:tc>
        <w:tc>
          <w:tcPr>
            <w:tcW w:w="2425" w:type="dxa"/>
            <w:tcBorders>
              <w:top w:val="single" w:color="auto" w:sz="4" w:space="0"/>
            </w:tcBorders>
            <w:noWrap w:val="0"/>
            <w:vAlign w:val="center"/>
          </w:tcPr>
          <w:p w14:paraId="6F366B9F">
            <w:pPr>
              <w:pStyle w:val="11"/>
              <w:numPr>
                <w:ilvl w:val="0"/>
                <w:numId w:val="0"/>
              </w:numPr>
              <w:spacing w:after="0"/>
              <w:ind w:left="284" w:hanging="284"/>
              <w:jc w:val="center"/>
              <w:rPr>
                <w:rFonts w:hint="eastAsia"/>
                <w:b/>
                <w:sz w:val="20"/>
              </w:rPr>
            </w:pPr>
            <w:r>
              <w:rPr>
                <w:rFonts w:hint="eastAsia" w:ascii="宋体" w:hAnsi="宋体"/>
                <w:sz w:val="20"/>
              </w:rPr>
              <w:t xml:space="preserve">□紧急  </w:t>
            </w:r>
            <w:r>
              <w:rPr>
                <w:rFonts w:hint="eastAsia" w:ascii="宋体" w:hAnsi="宋体"/>
                <w:sz w:val="20"/>
                <w:lang w:eastAsia="zh-CN"/>
              </w:rPr>
              <w:t>☑</w:t>
            </w:r>
            <w:r>
              <w:rPr>
                <w:rFonts w:hint="eastAsia" w:ascii="宋体" w:hAnsi="宋体"/>
                <w:sz w:val="20"/>
              </w:rPr>
              <w:t>急  □普通</w:t>
            </w:r>
          </w:p>
        </w:tc>
      </w:tr>
      <w:tr w14:paraId="3871D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182" w:hRule="atLeast"/>
        </w:trPr>
        <w:tc>
          <w:tcPr>
            <w:tcW w:w="1740" w:type="dxa"/>
            <w:gridSpan w:val="2"/>
            <w:tcBorders>
              <w:top w:val="single" w:color="auto" w:sz="6" w:space="0"/>
              <w:bottom w:val="single" w:color="auto" w:sz="6" w:space="0"/>
            </w:tcBorders>
            <w:noWrap w:val="0"/>
            <w:vAlign w:val="center"/>
          </w:tcPr>
          <w:p w14:paraId="5AC7DC33">
            <w:pPr>
              <w:pStyle w:val="11"/>
              <w:numPr>
                <w:ilvl w:val="0"/>
                <w:numId w:val="0"/>
              </w:numPr>
              <w:spacing w:after="0"/>
              <w:rPr>
                <w:rFonts w:hint="eastAsia"/>
                <w:b/>
                <w:sz w:val="20"/>
              </w:rPr>
            </w:pPr>
            <w:r>
              <w:rPr>
                <w:rFonts w:hint="eastAsia"/>
                <w:b/>
                <w:sz w:val="20"/>
              </w:rPr>
              <w:t>是否第三方要求</w:t>
            </w:r>
          </w:p>
        </w:tc>
        <w:tc>
          <w:tcPr>
            <w:tcW w:w="8520" w:type="dxa"/>
            <w:gridSpan w:val="5"/>
            <w:tcBorders>
              <w:top w:val="single" w:color="auto" w:sz="6" w:space="0"/>
              <w:bottom w:val="single" w:color="auto" w:sz="6" w:space="0"/>
            </w:tcBorders>
            <w:noWrap w:val="0"/>
            <w:vAlign w:val="center"/>
          </w:tcPr>
          <w:p w14:paraId="07CDC628">
            <w:pPr>
              <w:pStyle w:val="11"/>
              <w:numPr>
                <w:ilvl w:val="0"/>
                <w:numId w:val="0"/>
              </w:numPr>
              <w:rPr>
                <w:rFonts w:hint="eastAsia" w:ascii="宋体" w:hAnsi="宋体"/>
                <w:sz w:val="20"/>
              </w:rPr>
            </w:pPr>
            <w:r>
              <w:rPr>
                <w:rFonts w:hint="eastAsia" w:ascii="宋体" w:hAnsi="宋体"/>
                <w:sz w:val="20"/>
                <w:lang w:eastAsia="zh-CN"/>
              </w:rPr>
              <w:t>☑</w:t>
            </w:r>
            <w:r>
              <w:rPr>
                <w:rFonts w:hint="eastAsia" w:ascii="宋体" w:hAnsi="宋体"/>
                <w:sz w:val="20"/>
              </w:rPr>
              <w:t>否 □人行 □金融监管局 □外审 □内审 □其他（请说明）_____</w:t>
            </w:r>
            <w:r>
              <w:rPr>
                <w:rFonts w:hint="eastAsia"/>
                <w:i/>
                <w:color w:val="00B0F0"/>
                <w:sz w:val="16"/>
                <w:szCs w:val="16"/>
              </w:rPr>
              <w:t>请在“</w:t>
            </w:r>
            <w:r>
              <w:rPr>
                <w:rFonts w:hint="eastAsia"/>
                <w:i/>
                <w:color w:val="00B0F0"/>
                <w:sz w:val="16"/>
                <w:szCs w:val="16"/>
                <w:lang w:val="en-US" w:eastAsia="zh-CN"/>
              </w:rPr>
              <w:t>附件</w:t>
            </w:r>
            <w:r>
              <w:rPr>
                <w:rFonts w:hint="eastAsia"/>
                <w:i/>
                <w:color w:val="00B0F0"/>
                <w:sz w:val="16"/>
                <w:szCs w:val="16"/>
              </w:rPr>
              <w:t>”中附上材料</w:t>
            </w:r>
          </w:p>
        </w:tc>
      </w:tr>
      <w:tr w14:paraId="40EB1B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9" w:hRule="atLeast"/>
        </w:trPr>
        <w:tc>
          <w:tcPr>
            <w:tcW w:w="1740" w:type="dxa"/>
            <w:gridSpan w:val="2"/>
            <w:tcBorders>
              <w:top w:val="single" w:color="auto" w:sz="6" w:space="0"/>
              <w:bottom w:val="single" w:color="auto" w:sz="6" w:space="0"/>
            </w:tcBorders>
            <w:noWrap w:val="0"/>
            <w:vAlign w:val="center"/>
          </w:tcPr>
          <w:p w14:paraId="2CE1AF05">
            <w:pPr>
              <w:pStyle w:val="11"/>
              <w:numPr>
                <w:ilvl w:val="0"/>
                <w:numId w:val="0"/>
              </w:numPr>
              <w:spacing w:after="0"/>
              <w:ind w:left="284" w:hanging="284"/>
              <w:jc w:val="center"/>
              <w:rPr>
                <w:rFonts w:hint="eastAsia"/>
                <w:b/>
                <w:sz w:val="20"/>
              </w:rPr>
            </w:pPr>
            <w:r>
              <w:rPr>
                <w:rFonts w:hint="eastAsia"/>
                <w:b/>
                <w:sz w:val="20"/>
              </w:rPr>
              <w:t>审批类型</w:t>
            </w:r>
          </w:p>
        </w:tc>
        <w:tc>
          <w:tcPr>
            <w:tcW w:w="8520" w:type="dxa"/>
            <w:gridSpan w:val="5"/>
            <w:tcBorders>
              <w:top w:val="single" w:color="auto" w:sz="6" w:space="0"/>
              <w:bottom w:val="single" w:color="auto" w:sz="6" w:space="0"/>
            </w:tcBorders>
            <w:noWrap w:val="0"/>
            <w:vAlign w:val="center"/>
          </w:tcPr>
          <w:p w14:paraId="3A6C6B45">
            <w:pPr>
              <w:pStyle w:val="11"/>
              <w:numPr>
                <w:ilvl w:val="0"/>
                <w:numId w:val="0"/>
              </w:numPr>
              <w:spacing w:after="0"/>
              <w:ind w:left="283" w:hanging="283"/>
              <w:jc w:val="left"/>
              <w:rPr>
                <w:rFonts w:hint="eastAsia" w:ascii="宋体" w:hAnsi="宋体"/>
                <w:sz w:val="20"/>
              </w:rPr>
            </w:pPr>
            <w:r>
              <w:rPr>
                <w:rFonts w:hint="eastAsia" w:ascii="宋体" w:hAnsi="宋体"/>
                <w:sz w:val="20"/>
              </w:rPr>
              <w:t>□行办会</w:t>
            </w:r>
            <w:r>
              <w:rPr>
                <w:rFonts w:ascii="宋体" w:hAnsi="宋体"/>
                <w:sz w:val="20"/>
              </w:rPr>
              <w:t xml:space="preserve">  </w:t>
            </w:r>
            <w:r>
              <w:rPr>
                <w:rFonts w:hint="eastAsia" w:ascii="宋体" w:hAnsi="宋体"/>
                <w:sz w:val="20"/>
              </w:rPr>
              <w:t>□产品评审会</w:t>
            </w:r>
            <w:r>
              <w:rPr>
                <w:rFonts w:ascii="宋体" w:hAnsi="宋体"/>
                <w:sz w:val="20"/>
              </w:rPr>
              <w:t xml:space="preserve">  </w:t>
            </w:r>
            <w:r>
              <w:rPr>
                <w:rFonts w:hint="eastAsia" w:ascii="宋体" w:hAnsi="宋体"/>
                <w:sz w:val="20"/>
              </w:rPr>
              <w:t>□签报</w:t>
            </w:r>
            <w:r>
              <w:rPr>
                <w:rFonts w:ascii="宋体" w:hAnsi="宋体"/>
                <w:sz w:val="20"/>
              </w:rPr>
              <w:t xml:space="preserve">  </w:t>
            </w:r>
            <w:r>
              <w:rPr>
                <w:rFonts w:hint="eastAsia" w:ascii="宋体" w:hAnsi="宋体"/>
                <w:sz w:val="20"/>
              </w:rPr>
              <w:t xml:space="preserve">□其他（请说明）_____  </w:t>
            </w:r>
          </w:p>
        </w:tc>
      </w:tr>
      <w:tr w14:paraId="498C6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4" w:hRule="atLeast"/>
        </w:trPr>
        <w:tc>
          <w:tcPr>
            <w:tcW w:w="10260" w:type="dxa"/>
            <w:gridSpan w:val="7"/>
            <w:tcBorders>
              <w:top w:val="single" w:color="auto" w:sz="6" w:space="0"/>
              <w:bottom w:val="single" w:color="auto" w:sz="6" w:space="0"/>
            </w:tcBorders>
            <w:shd w:val="clear" w:color="auto" w:fill="E0E0E0"/>
            <w:noWrap w:val="0"/>
            <w:vAlign w:val="center"/>
          </w:tcPr>
          <w:p w14:paraId="0E01120D">
            <w:pPr>
              <w:spacing w:after="0"/>
              <w:jc w:val="center"/>
              <w:rPr>
                <w:rFonts w:hint="eastAsia"/>
                <w:b/>
                <w:sz w:val="24"/>
                <w:szCs w:val="24"/>
              </w:rPr>
            </w:pPr>
            <w:r>
              <w:rPr>
                <w:rFonts w:hint="eastAsia"/>
                <w:b/>
                <w:sz w:val="21"/>
                <w:szCs w:val="21"/>
              </w:rPr>
              <w:t xml:space="preserve">需求简述 </w:t>
            </w:r>
          </w:p>
        </w:tc>
      </w:tr>
      <w:tr w14:paraId="4284CC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1738" w:hRule="atLeast"/>
        </w:trPr>
        <w:tc>
          <w:tcPr>
            <w:tcW w:w="1439" w:type="dxa"/>
            <w:tcBorders>
              <w:top w:val="single" w:color="auto" w:sz="6" w:space="0"/>
            </w:tcBorders>
            <w:noWrap w:val="0"/>
            <w:vAlign w:val="center"/>
          </w:tcPr>
          <w:p w14:paraId="60B2E451">
            <w:pPr>
              <w:pStyle w:val="11"/>
              <w:numPr>
                <w:ilvl w:val="0"/>
                <w:numId w:val="0"/>
              </w:numPr>
              <w:spacing w:after="0"/>
              <w:rPr>
                <w:rFonts w:hint="eastAsia"/>
                <w:b/>
                <w:sz w:val="18"/>
                <w:szCs w:val="18"/>
              </w:rPr>
            </w:pPr>
            <w:r>
              <w:rPr>
                <w:rFonts w:hint="eastAsia"/>
                <w:b/>
                <w:sz w:val="20"/>
              </w:rPr>
              <w:t>需求起因</w:t>
            </w:r>
            <w:r>
              <w:rPr>
                <w:rFonts w:hint="eastAsia"/>
                <w:b/>
                <w:sz w:val="20"/>
                <w:lang w:eastAsia="zh-CN"/>
              </w:rPr>
              <w:t>、</w:t>
            </w:r>
            <w:r>
              <w:rPr>
                <w:rFonts w:hint="eastAsia"/>
                <w:b/>
                <w:sz w:val="20"/>
              </w:rPr>
              <w:t>目的</w:t>
            </w:r>
          </w:p>
        </w:tc>
        <w:tc>
          <w:tcPr>
            <w:tcW w:w="8821" w:type="dxa"/>
            <w:gridSpan w:val="6"/>
            <w:tcBorders>
              <w:top w:val="single" w:color="auto" w:sz="6" w:space="0"/>
            </w:tcBorders>
            <w:noWrap w:val="0"/>
            <w:vAlign w:val="top"/>
          </w:tcPr>
          <w:p w14:paraId="42652C51">
            <w:pPr>
              <w:pStyle w:val="11"/>
              <w:numPr>
                <w:ilvl w:val="0"/>
                <w:numId w:val="0"/>
              </w:numPr>
              <w:spacing w:after="0"/>
              <w:ind w:firstLine="368" w:firstLineChars="205"/>
              <w:rPr>
                <w:rFonts w:hint="eastAsia"/>
                <w:sz w:val="18"/>
                <w:szCs w:val="18"/>
              </w:rPr>
            </w:pPr>
          </w:p>
          <w:p w14:paraId="31615EB0">
            <w:pPr>
              <w:pStyle w:val="11"/>
              <w:numPr>
                <w:ilvl w:val="0"/>
                <w:numId w:val="0"/>
              </w:numPr>
              <w:spacing w:after="0"/>
              <w:ind w:firstLine="368" w:firstLineChars="205"/>
              <w:rPr>
                <w:rFonts w:hint="eastAsia"/>
                <w:sz w:val="18"/>
                <w:szCs w:val="18"/>
              </w:rPr>
            </w:pPr>
          </w:p>
          <w:p w14:paraId="62EAD37B">
            <w:pPr>
              <w:pStyle w:val="11"/>
              <w:numPr>
                <w:ilvl w:val="0"/>
                <w:numId w:val="0"/>
              </w:numPr>
              <w:spacing w:after="0"/>
              <w:ind w:firstLine="368" w:firstLineChars="205"/>
              <w:rPr>
                <w:rFonts w:hint="default"/>
                <w:b w:val="0"/>
                <w:bCs w:val="0"/>
                <w:sz w:val="18"/>
                <w:szCs w:val="18"/>
                <w:lang w:val="en-US" w:eastAsia="zh-CN"/>
              </w:rPr>
            </w:pPr>
            <w:r>
              <w:rPr>
                <w:rFonts w:hint="eastAsia"/>
                <w:b w:val="0"/>
                <w:bCs w:val="0"/>
                <w:sz w:val="18"/>
                <w:szCs w:val="18"/>
                <w:lang w:val="en-US" w:eastAsia="zh-CN"/>
              </w:rPr>
              <w:t>因支付中台的收付费流程现在是走OA系统提运营联系单，其他均为线下手动填写数据及单据，效率低下、数据易错，随着新核心系统建设，运营收付费流程进行改造，建议通过支付中台系统对接改造后的收付费流程。</w:t>
            </w:r>
          </w:p>
          <w:p w14:paraId="63130F61">
            <w:pPr>
              <w:pStyle w:val="11"/>
              <w:numPr>
                <w:ilvl w:val="0"/>
                <w:numId w:val="0"/>
              </w:numPr>
              <w:spacing w:after="0"/>
              <w:ind w:firstLine="368" w:firstLineChars="205"/>
              <w:rPr>
                <w:rFonts w:hint="default"/>
                <w:sz w:val="18"/>
                <w:szCs w:val="18"/>
                <w:lang w:val="en-US" w:eastAsia="zh-CN"/>
              </w:rPr>
            </w:pPr>
            <w:r>
              <w:rPr>
                <w:rFonts w:hint="eastAsia"/>
                <w:sz w:val="18"/>
                <w:szCs w:val="18"/>
                <w:lang w:val="en-US" w:eastAsia="zh-CN"/>
              </w:rPr>
              <w:t>建议上线时间：2025年10月（新核心上线时间）</w:t>
            </w:r>
          </w:p>
          <w:p w14:paraId="45D6FB35">
            <w:pPr>
              <w:pStyle w:val="11"/>
              <w:numPr>
                <w:ilvl w:val="0"/>
                <w:numId w:val="0"/>
              </w:numPr>
              <w:spacing w:after="0"/>
              <w:ind w:firstLine="368" w:firstLineChars="205"/>
              <w:rPr>
                <w:rFonts w:hint="eastAsia"/>
                <w:sz w:val="18"/>
                <w:szCs w:val="18"/>
              </w:rPr>
            </w:pPr>
          </w:p>
        </w:tc>
      </w:tr>
      <w:tr w14:paraId="2659D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4195" w:hRule="atLeast"/>
        </w:trPr>
        <w:tc>
          <w:tcPr>
            <w:tcW w:w="1439" w:type="dxa"/>
            <w:tcBorders>
              <w:top w:val="single" w:color="auto" w:sz="6" w:space="0"/>
            </w:tcBorders>
            <w:noWrap w:val="0"/>
            <w:vAlign w:val="center"/>
          </w:tcPr>
          <w:p w14:paraId="68E7A4CD">
            <w:pPr>
              <w:spacing w:after="0"/>
              <w:jc w:val="center"/>
              <w:rPr>
                <w:rFonts w:hint="eastAsia" w:ascii="Times New Roman" w:hAnsi="Times New Roman" w:eastAsia="宋体" w:cs="Times New Roman"/>
                <w:i/>
                <w:color w:val="00B0F0"/>
                <w:sz w:val="16"/>
                <w:szCs w:val="16"/>
              </w:rPr>
            </w:pPr>
            <w:r>
              <w:rPr>
                <w:rFonts w:hint="eastAsia" w:ascii="Times New Roman" w:hAnsi="Times New Roman" w:eastAsia="宋体" w:cs="Times New Roman"/>
                <w:b/>
                <w:sz w:val="20"/>
                <w:lang w:val="en-US" w:eastAsia="zh-CN"/>
              </w:rPr>
              <w:t>数据变更要求</w:t>
            </w:r>
            <w:r>
              <w:rPr>
                <w:rFonts w:hint="eastAsia" w:ascii="Times New Roman" w:hAnsi="Times New Roman" w:eastAsia="宋体" w:cs="Times New Roman"/>
                <w:i/>
                <w:color w:val="00B0F0"/>
                <w:sz w:val="16"/>
                <w:szCs w:val="16"/>
                <w:lang w:val="en-US" w:eastAsia="zh-CN"/>
              </w:rPr>
              <w:t>（</w:t>
            </w:r>
            <w:r>
              <w:rPr>
                <w:rFonts w:hint="eastAsia" w:ascii="Times New Roman" w:hAnsi="Times New Roman" w:eastAsia="宋体" w:cs="Times New Roman"/>
                <w:i/>
                <w:color w:val="00B0F0"/>
                <w:sz w:val="16"/>
                <w:szCs w:val="16"/>
              </w:rPr>
              <w:t>注：描述本</w:t>
            </w:r>
            <w:r>
              <w:rPr>
                <w:rFonts w:hint="eastAsia" w:ascii="Times New Roman" w:hAnsi="Times New Roman" w:eastAsia="宋体" w:cs="Times New Roman"/>
                <w:i/>
                <w:color w:val="00B0F0"/>
                <w:sz w:val="16"/>
                <w:szCs w:val="16"/>
                <w:lang w:val="en-US" w:eastAsia="zh-CN"/>
              </w:rPr>
              <w:t>需求</w:t>
            </w:r>
            <w:r>
              <w:rPr>
                <w:rFonts w:hint="eastAsia" w:ascii="Times New Roman" w:hAnsi="Times New Roman" w:eastAsia="宋体" w:cs="Times New Roman"/>
                <w:i/>
                <w:color w:val="00B0F0"/>
                <w:sz w:val="16"/>
                <w:szCs w:val="16"/>
              </w:rPr>
              <w:t>是否涉及生产目前存量数据变更，是否需要进行刷数处理，如</w:t>
            </w:r>
            <w:r>
              <w:rPr>
                <w:rFonts w:hint="eastAsia" w:ascii="Times New Roman" w:hAnsi="Times New Roman" w:eastAsia="宋体" w:cs="Times New Roman"/>
                <w:i/>
                <w:color w:val="00B0F0"/>
                <w:sz w:val="16"/>
                <w:szCs w:val="16"/>
                <w:lang w:val="en-US" w:eastAsia="zh-CN"/>
              </w:rPr>
              <w:t>需刷数</w:t>
            </w:r>
            <w:r>
              <w:rPr>
                <w:rFonts w:hint="eastAsia" w:ascii="Times New Roman" w:hAnsi="Times New Roman" w:eastAsia="宋体" w:cs="Times New Roman"/>
                <w:i/>
                <w:color w:val="00B0F0"/>
                <w:sz w:val="16"/>
                <w:szCs w:val="16"/>
              </w:rPr>
              <w:t>需要提供刷数规则，验证方式，及刷数原因</w:t>
            </w:r>
          </w:p>
          <w:p w14:paraId="01EE9A40">
            <w:pPr>
              <w:spacing w:after="0"/>
              <w:jc w:val="center"/>
              <w:rPr>
                <w:rFonts w:hint="eastAsia"/>
                <w:b/>
                <w:sz w:val="20"/>
              </w:rPr>
            </w:pPr>
            <w:r>
              <w:rPr>
                <w:rFonts w:hint="eastAsia" w:ascii="Times New Roman" w:hAnsi="Times New Roman" w:eastAsia="宋体" w:cs="Times New Roman"/>
                <w:i/>
                <w:color w:val="00B0F0"/>
                <w:sz w:val="16"/>
                <w:szCs w:val="16"/>
                <w:lang w:val="en-US" w:eastAsia="zh-CN"/>
              </w:rPr>
              <w:t>）</w:t>
            </w:r>
          </w:p>
        </w:tc>
        <w:tc>
          <w:tcPr>
            <w:tcW w:w="8821" w:type="dxa"/>
            <w:gridSpan w:val="6"/>
            <w:tcBorders>
              <w:top w:val="single" w:color="auto" w:sz="6" w:space="0"/>
            </w:tcBorders>
            <w:noWrap w:val="0"/>
            <w:vAlign w:val="top"/>
          </w:tcPr>
          <w:tbl>
            <w:tblPr>
              <w:tblStyle w:val="23"/>
              <w:tblW w:w="882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7"/>
              <w:gridCol w:w="2266"/>
              <w:gridCol w:w="4208"/>
            </w:tblGrid>
            <w:tr w14:paraId="7DBE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1" w:hRule="atLeast"/>
              </w:trPr>
              <w:tc>
                <w:tcPr>
                  <w:tcW w:w="2347" w:type="dxa"/>
                  <w:shd w:val="clear" w:color="auto" w:fill="F1F1F1"/>
                  <w:noWrap w:val="0"/>
                  <w:vAlign w:val="center"/>
                </w:tcPr>
                <w:p w14:paraId="53947B60">
                  <w:pPr>
                    <w:jc w:val="center"/>
                    <w:rPr>
                      <w:rFonts w:ascii="宋体" w:hAnsi="宋体" w:cs="宋体"/>
                      <w:b/>
                      <w:bCs/>
                      <w:color w:val="auto"/>
                      <w:kern w:val="0"/>
                      <w:sz w:val="20"/>
                    </w:rPr>
                  </w:pPr>
                  <w:r>
                    <w:rPr>
                      <w:rFonts w:hint="eastAsia" w:ascii="宋体" w:hAnsi="宋体" w:cs="宋体"/>
                      <w:b/>
                      <w:bCs/>
                      <w:color w:val="auto"/>
                      <w:kern w:val="0"/>
                      <w:sz w:val="20"/>
                    </w:rPr>
                    <w:t>模块名称</w:t>
                  </w:r>
                </w:p>
              </w:tc>
              <w:tc>
                <w:tcPr>
                  <w:tcW w:w="2266" w:type="dxa"/>
                  <w:shd w:val="clear" w:color="auto" w:fill="F1F1F1"/>
                  <w:noWrap w:val="0"/>
                  <w:vAlign w:val="center"/>
                </w:tcPr>
                <w:p w14:paraId="2BB2E54F">
                  <w:pPr>
                    <w:jc w:val="center"/>
                    <w:rPr>
                      <w:rFonts w:ascii="宋体" w:hAnsi="宋体" w:cs="宋体"/>
                      <w:b/>
                      <w:bCs/>
                      <w:color w:val="auto"/>
                      <w:kern w:val="0"/>
                      <w:sz w:val="20"/>
                    </w:rPr>
                  </w:pPr>
                  <w:r>
                    <w:rPr>
                      <w:rFonts w:hint="eastAsia" w:ascii="宋体" w:hAnsi="宋体" w:cs="宋体"/>
                      <w:b/>
                      <w:bCs/>
                      <w:color w:val="auto"/>
                      <w:kern w:val="0"/>
                      <w:sz w:val="20"/>
                    </w:rPr>
                    <w:t>选项</w:t>
                  </w:r>
                </w:p>
              </w:tc>
              <w:tc>
                <w:tcPr>
                  <w:tcW w:w="4208" w:type="dxa"/>
                  <w:shd w:val="clear" w:color="auto" w:fill="F1F1F1"/>
                  <w:noWrap w:val="0"/>
                  <w:vAlign w:val="center"/>
                </w:tcPr>
                <w:p w14:paraId="77E15182">
                  <w:pPr>
                    <w:jc w:val="center"/>
                    <w:rPr>
                      <w:b/>
                      <w:iCs/>
                      <w:color w:val="auto"/>
                      <w:sz w:val="20"/>
                    </w:rPr>
                  </w:pPr>
                  <w:r>
                    <w:rPr>
                      <w:rFonts w:hint="eastAsia"/>
                      <w:b/>
                      <w:iCs/>
                      <w:color w:val="auto"/>
                      <w:sz w:val="20"/>
                    </w:rPr>
                    <w:t>说明</w:t>
                  </w:r>
                </w:p>
              </w:tc>
            </w:tr>
            <w:tr w14:paraId="4C26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49" w:hRule="atLeast"/>
              </w:trPr>
              <w:tc>
                <w:tcPr>
                  <w:tcW w:w="2347" w:type="dxa"/>
                  <w:noWrap w:val="0"/>
                  <w:vAlign w:val="center"/>
                </w:tcPr>
                <w:p w14:paraId="0AC400A3">
                  <w:pPr>
                    <w:rPr>
                      <w:rFonts w:ascii="宋体" w:hAnsi="宋体" w:cs="宋体"/>
                      <w:bCs/>
                      <w:color w:val="auto"/>
                      <w:kern w:val="0"/>
                      <w:sz w:val="20"/>
                    </w:rPr>
                  </w:pPr>
                  <w:r>
                    <w:rPr>
                      <w:rFonts w:hint="eastAsia" w:ascii="宋体" w:hAnsi="宋体" w:cs="宋体"/>
                      <w:bCs/>
                      <w:color w:val="auto"/>
                      <w:kern w:val="0"/>
                      <w:sz w:val="20"/>
                    </w:rPr>
                    <w:t>是否涉及刷</w:t>
                  </w:r>
                  <w:r>
                    <w:rPr>
                      <w:rFonts w:ascii="宋体" w:hAnsi="宋体" w:cs="宋体"/>
                      <w:bCs/>
                      <w:color w:val="auto"/>
                      <w:kern w:val="0"/>
                      <w:sz w:val="20"/>
                    </w:rPr>
                    <w:t>数</w:t>
                  </w:r>
                </w:p>
              </w:tc>
              <w:tc>
                <w:tcPr>
                  <w:tcW w:w="2266" w:type="dxa"/>
                  <w:noWrap w:val="0"/>
                  <w:vAlign w:val="top"/>
                </w:tcPr>
                <w:p w14:paraId="0C192D92">
                  <w:pPr>
                    <w:rPr>
                      <w:rFonts w:ascii="宋体" w:hAnsi="宋体" w:cs="宋体"/>
                      <w:bCs/>
                      <w:color w:val="auto"/>
                      <w:kern w:val="0"/>
                      <w:sz w:val="20"/>
                      <w:u w:val="single"/>
                    </w:rPr>
                  </w:pPr>
                  <w:r>
                    <w:rPr>
                      <w:rFonts w:ascii="宋体" w:hAnsi="宋体" w:eastAsia="宋体" w:cs="宋体"/>
                      <w:bCs/>
                      <w:color w:val="auto"/>
                      <w:kern w:val="0"/>
                      <w:sz w:val="20"/>
                      <w:szCs w:val="20"/>
                    </w:rPr>
                    <w:object>
                      <v:shape id="_x0000_i1025" o:spt="201" type="#_x0000_t201" style="height:13.5pt;width:16.5pt;" o:ole="t" filled="f" o:preferrelative="t" stroked="f" coordsize="21600,21600">
                        <v:path/>
                        <v:fill on="f" focussize="0,0"/>
                        <v:stroke on="f"/>
                        <v:imagedata r:id="rId10" o:title=""/>
                        <o:lock v:ext="edit" aspectratio="t"/>
                        <w10:wrap type="none"/>
                        <w10:anchorlock/>
                      </v:shape>
                      <w:control r:id="rId9" w:name="HTMLCheckbox3" w:shapeid="_x0000_i1025"/>
                    </w:object>
                  </w:r>
                  <w:r>
                    <w:rPr>
                      <w:rFonts w:hint="eastAsia" w:ascii="宋体" w:hAnsi="宋体" w:cs="宋体"/>
                      <w:bCs/>
                      <w:color w:val="auto"/>
                      <w:kern w:val="0"/>
                      <w:sz w:val="20"/>
                    </w:rPr>
                    <w:t>是</w:t>
                  </w:r>
                </w:p>
                <w:p w14:paraId="1CD7BDA8">
                  <w:pPr>
                    <w:rPr>
                      <w:rFonts w:ascii="宋体" w:hAnsi="宋体" w:cs="宋体"/>
                      <w:bCs/>
                      <w:color w:val="auto"/>
                      <w:kern w:val="0"/>
                      <w:sz w:val="20"/>
                    </w:rPr>
                  </w:pPr>
                  <w:r>
                    <w:rPr>
                      <w:rFonts w:ascii="宋体" w:hAnsi="宋体" w:eastAsia="宋体" w:cs="宋体"/>
                      <w:bCs/>
                      <w:color w:val="auto"/>
                      <w:kern w:val="0"/>
                      <w:sz w:val="20"/>
                      <w:szCs w:val="20"/>
                    </w:rPr>
                    <w:object>
                      <v:shape id="_x0000_i1026" o:spt="201" type="#_x0000_t201" style="height:13.5pt;width:16.5pt;" o:ole="t" filled="f" o:preferrelative="t" stroked="f" coordsize="21600,21600">
                        <v:path/>
                        <v:fill on="f" focussize="0,0"/>
                        <v:stroke on="f"/>
                        <v:imagedata r:id="rId12" o:title=""/>
                        <o:lock v:ext="edit" aspectratio="t"/>
                        <w10:wrap type="none"/>
                        <w10:anchorlock/>
                      </v:shape>
                      <w:control r:id="rId11" w:name="HTMLCheckbox4" w:shapeid="_x0000_i1026"/>
                    </w:object>
                  </w:r>
                  <w:r>
                    <w:rPr>
                      <w:rFonts w:hint="eastAsia" w:ascii="宋体" w:hAnsi="宋体" w:cs="宋体"/>
                      <w:bCs/>
                      <w:color w:val="auto"/>
                      <w:kern w:val="0"/>
                      <w:sz w:val="20"/>
                    </w:rPr>
                    <w:t>否</w:t>
                  </w:r>
                </w:p>
              </w:tc>
              <w:tc>
                <w:tcPr>
                  <w:tcW w:w="4208" w:type="dxa"/>
                  <w:noWrap w:val="0"/>
                  <w:vAlign w:val="center"/>
                </w:tcPr>
                <w:p w14:paraId="26BAF21A">
                  <w:pPr>
                    <w:rPr>
                      <w:rFonts w:ascii="宋体" w:hAnsi="宋体" w:cs="宋体"/>
                      <w:bCs/>
                      <w:color w:val="auto"/>
                      <w:kern w:val="0"/>
                      <w:sz w:val="20"/>
                      <w:u w:val="single"/>
                    </w:rPr>
                  </w:pPr>
                  <w:r>
                    <w:rPr>
                      <w:rFonts w:hint="eastAsia" w:ascii="Times New Roman" w:hAnsi="Times New Roman" w:eastAsia="宋体" w:cs="Times New Roman"/>
                      <w:i/>
                      <w:color w:val="00B0F0"/>
                      <w:sz w:val="16"/>
                      <w:szCs w:val="16"/>
                    </w:rPr>
                    <w:t>选择“</w:t>
                  </w:r>
                  <w:r>
                    <w:rPr>
                      <w:rFonts w:hint="eastAsia" w:ascii="Times New Roman" w:hAnsi="Times New Roman" w:eastAsia="宋体" w:cs="Times New Roman"/>
                      <w:i/>
                      <w:color w:val="00B0F0"/>
                      <w:sz w:val="16"/>
                      <w:szCs w:val="16"/>
                      <w:lang w:val="en-US" w:eastAsia="zh-CN"/>
                    </w:rPr>
                    <w:t>是</w:t>
                  </w:r>
                  <w:r>
                    <w:rPr>
                      <w:rFonts w:hint="eastAsia" w:ascii="Times New Roman" w:hAnsi="Times New Roman" w:eastAsia="宋体" w:cs="Times New Roman"/>
                      <w:i/>
                      <w:color w:val="00B0F0"/>
                      <w:sz w:val="16"/>
                      <w:szCs w:val="16"/>
                    </w:rPr>
                    <w:t>”，请详细描述刷数原因，并将刷数规则，验证方式，涉及系统等在下表提供。</w:t>
                  </w:r>
                </w:p>
              </w:tc>
            </w:tr>
          </w:tbl>
          <w:tbl>
            <w:tblPr>
              <w:tblStyle w:val="24"/>
              <w:tblW w:w="882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1"/>
              <w:gridCol w:w="3296"/>
              <w:gridCol w:w="3174"/>
            </w:tblGrid>
            <w:tr w14:paraId="3A0D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shd w:val="clear" w:color="auto" w:fill="F1F1F1"/>
                  <w:noWrap w:val="0"/>
                  <w:vAlign w:val="top"/>
                </w:tcPr>
                <w:p w14:paraId="75D52877">
                  <w:pPr>
                    <w:jc w:val="center"/>
                    <w:rPr>
                      <w:rFonts w:ascii="宋体" w:hAnsi="宋体" w:eastAsia="宋体" w:cs="宋体"/>
                      <w:b/>
                      <w:bCs/>
                      <w:color w:val="auto"/>
                      <w:kern w:val="0"/>
                      <w:sz w:val="20"/>
                      <w:szCs w:val="20"/>
                    </w:rPr>
                  </w:pPr>
                  <w:r>
                    <w:rPr>
                      <w:rFonts w:hint="eastAsia" w:ascii="宋体" w:hAnsi="宋体" w:eastAsia="宋体" w:cs="宋体"/>
                      <w:b/>
                      <w:bCs/>
                      <w:color w:val="auto"/>
                      <w:kern w:val="0"/>
                      <w:sz w:val="20"/>
                      <w:szCs w:val="20"/>
                    </w:rPr>
                    <w:t>刷数</w:t>
                  </w:r>
                  <w:r>
                    <w:rPr>
                      <w:rFonts w:ascii="宋体" w:hAnsi="宋体" w:eastAsia="宋体" w:cs="宋体"/>
                      <w:b/>
                      <w:bCs/>
                      <w:color w:val="auto"/>
                      <w:kern w:val="0"/>
                      <w:sz w:val="20"/>
                      <w:szCs w:val="20"/>
                    </w:rPr>
                    <w:t>涉及</w:t>
                  </w:r>
                  <w:r>
                    <w:rPr>
                      <w:rFonts w:hint="eastAsia" w:ascii="宋体" w:hAnsi="宋体" w:eastAsia="宋体" w:cs="宋体"/>
                      <w:b/>
                      <w:bCs/>
                      <w:color w:val="auto"/>
                      <w:kern w:val="0"/>
                      <w:sz w:val="20"/>
                      <w:szCs w:val="20"/>
                    </w:rPr>
                    <w:t>系统</w:t>
                  </w:r>
                </w:p>
              </w:tc>
              <w:tc>
                <w:tcPr>
                  <w:tcW w:w="3296" w:type="dxa"/>
                  <w:shd w:val="clear" w:color="auto" w:fill="F1F1F1"/>
                  <w:noWrap w:val="0"/>
                  <w:vAlign w:val="top"/>
                </w:tcPr>
                <w:p w14:paraId="2EB3E8A6">
                  <w:pPr>
                    <w:jc w:val="center"/>
                    <w:rPr>
                      <w:rFonts w:ascii="宋体" w:hAnsi="宋体" w:eastAsia="宋体" w:cs="宋体"/>
                      <w:b/>
                      <w:bCs/>
                      <w:color w:val="auto"/>
                      <w:kern w:val="0"/>
                      <w:sz w:val="20"/>
                      <w:szCs w:val="20"/>
                    </w:rPr>
                  </w:pPr>
                  <w:r>
                    <w:rPr>
                      <w:rFonts w:hint="eastAsia" w:ascii="宋体" w:hAnsi="宋体" w:eastAsia="宋体" w:cs="宋体"/>
                      <w:b/>
                      <w:bCs/>
                      <w:color w:val="auto"/>
                      <w:kern w:val="0"/>
                      <w:sz w:val="20"/>
                      <w:szCs w:val="20"/>
                    </w:rPr>
                    <w:t>刷数具体</w:t>
                  </w:r>
                  <w:r>
                    <w:rPr>
                      <w:rFonts w:ascii="宋体" w:hAnsi="宋体" w:eastAsia="宋体" w:cs="宋体"/>
                      <w:b/>
                      <w:bCs/>
                      <w:color w:val="auto"/>
                      <w:kern w:val="0"/>
                      <w:sz w:val="20"/>
                      <w:szCs w:val="20"/>
                    </w:rPr>
                    <w:t>规则</w:t>
                  </w:r>
                </w:p>
              </w:tc>
              <w:tc>
                <w:tcPr>
                  <w:tcW w:w="3174" w:type="dxa"/>
                  <w:shd w:val="clear" w:color="auto" w:fill="F1F1F1"/>
                  <w:noWrap w:val="0"/>
                  <w:vAlign w:val="top"/>
                </w:tcPr>
                <w:p w14:paraId="21D37F39">
                  <w:pPr>
                    <w:jc w:val="center"/>
                    <w:rPr>
                      <w:rFonts w:ascii="宋体" w:hAnsi="宋体" w:eastAsia="宋体" w:cs="宋体"/>
                      <w:b/>
                      <w:bCs/>
                      <w:color w:val="auto"/>
                      <w:kern w:val="0"/>
                      <w:sz w:val="20"/>
                      <w:szCs w:val="20"/>
                    </w:rPr>
                  </w:pPr>
                  <w:r>
                    <w:rPr>
                      <w:rFonts w:hint="eastAsia" w:ascii="宋体" w:hAnsi="宋体" w:eastAsia="宋体" w:cs="宋体"/>
                      <w:b/>
                      <w:bCs/>
                      <w:color w:val="auto"/>
                      <w:kern w:val="0"/>
                      <w:sz w:val="20"/>
                      <w:szCs w:val="20"/>
                    </w:rPr>
                    <w:t>验证方式</w:t>
                  </w:r>
                </w:p>
              </w:tc>
            </w:tr>
            <w:tr w14:paraId="3715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noWrap w:val="0"/>
                  <w:vAlign w:val="top"/>
                </w:tcPr>
                <w:p w14:paraId="74F9E0F5">
                  <w:pPr>
                    <w:spacing w:after="0"/>
                    <w:jc w:val="center"/>
                    <w:rPr>
                      <w:rFonts w:hint="eastAsia" w:ascii="Times New Roman" w:hAnsi="Times New Roman" w:eastAsia="宋体" w:cs="Times New Roman"/>
                      <w:i/>
                      <w:color w:val="00B0F0"/>
                      <w:sz w:val="16"/>
                      <w:szCs w:val="16"/>
                    </w:rPr>
                  </w:pPr>
                  <w:r>
                    <w:rPr>
                      <w:rFonts w:hint="eastAsia" w:ascii="Times New Roman" w:hAnsi="Times New Roman" w:eastAsia="宋体" w:cs="Times New Roman"/>
                      <w:i/>
                      <w:color w:val="00B0F0"/>
                      <w:sz w:val="16"/>
                      <w:szCs w:val="16"/>
                    </w:rPr>
                    <w:t>描述</w:t>
                  </w:r>
                  <w:r>
                    <w:rPr>
                      <w:rFonts w:hint="eastAsia" w:ascii="Times New Roman" w:hAnsi="Times New Roman" w:eastAsia="宋体" w:cs="Times New Roman"/>
                      <w:i/>
                      <w:color w:val="00B0F0"/>
                      <w:sz w:val="16"/>
                      <w:szCs w:val="16"/>
                      <w:lang w:val="en-US" w:eastAsia="zh-CN"/>
                    </w:rPr>
                    <w:t>哪</w:t>
                  </w:r>
                  <w:r>
                    <w:rPr>
                      <w:rFonts w:hint="eastAsia" w:ascii="Times New Roman" w:hAnsi="Times New Roman" w:eastAsia="宋体" w:cs="Times New Roman"/>
                      <w:i/>
                      <w:color w:val="00B0F0"/>
                      <w:sz w:val="16"/>
                      <w:szCs w:val="16"/>
                    </w:rPr>
                    <w:t>些系统需要刷数</w:t>
                  </w:r>
                </w:p>
              </w:tc>
              <w:tc>
                <w:tcPr>
                  <w:tcW w:w="3296" w:type="dxa"/>
                  <w:noWrap w:val="0"/>
                  <w:vAlign w:val="top"/>
                </w:tcPr>
                <w:p w14:paraId="308DB2A7">
                  <w:pPr>
                    <w:spacing w:after="0"/>
                    <w:jc w:val="center"/>
                    <w:rPr>
                      <w:rFonts w:hint="eastAsia" w:ascii="Times New Roman" w:hAnsi="Times New Roman" w:eastAsia="宋体" w:cs="Times New Roman"/>
                      <w:i/>
                      <w:color w:val="00B0F0"/>
                      <w:sz w:val="16"/>
                      <w:szCs w:val="16"/>
                    </w:rPr>
                  </w:pPr>
                  <w:r>
                    <w:rPr>
                      <w:rFonts w:hint="eastAsia" w:ascii="Times New Roman" w:hAnsi="Times New Roman" w:eastAsia="宋体" w:cs="Times New Roman"/>
                      <w:i/>
                      <w:color w:val="00B0F0"/>
                      <w:sz w:val="16"/>
                      <w:szCs w:val="16"/>
                    </w:rPr>
                    <w:t>具体描述详细的刷数规则，规则复杂的</w:t>
                  </w:r>
                  <w:r>
                    <w:rPr>
                      <w:rFonts w:hint="eastAsia" w:ascii="Times New Roman" w:hAnsi="Times New Roman" w:eastAsia="宋体" w:cs="Times New Roman"/>
                      <w:i/>
                      <w:color w:val="00B0F0"/>
                      <w:sz w:val="16"/>
                      <w:szCs w:val="16"/>
                      <w:lang w:eastAsia="zh-CN"/>
                    </w:rPr>
                    <w:t>，</w:t>
                  </w:r>
                  <w:r>
                    <w:rPr>
                      <w:rFonts w:hint="eastAsia" w:ascii="Times New Roman" w:hAnsi="Times New Roman" w:eastAsia="宋体" w:cs="Times New Roman"/>
                      <w:i/>
                      <w:color w:val="00B0F0"/>
                      <w:sz w:val="16"/>
                      <w:szCs w:val="16"/>
                      <w:lang w:val="en-US" w:eastAsia="zh-CN"/>
                    </w:rPr>
                    <w:t>可以</w:t>
                  </w:r>
                  <w:r>
                    <w:rPr>
                      <w:rFonts w:hint="eastAsia" w:ascii="Times New Roman" w:hAnsi="Times New Roman" w:eastAsia="宋体" w:cs="Times New Roman"/>
                      <w:i/>
                      <w:color w:val="00B0F0"/>
                      <w:sz w:val="16"/>
                      <w:szCs w:val="16"/>
                    </w:rPr>
                    <w:t>以附件形式提供</w:t>
                  </w:r>
                </w:p>
              </w:tc>
              <w:tc>
                <w:tcPr>
                  <w:tcW w:w="3174" w:type="dxa"/>
                  <w:noWrap w:val="0"/>
                  <w:vAlign w:val="top"/>
                </w:tcPr>
                <w:p w14:paraId="39F363E1">
                  <w:pPr>
                    <w:spacing w:after="0"/>
                    <w:jc w:val="center"/>
                    <w:rPr>
                      <w:rFonts w:hint="eastAsia" w:ascii="Times New Roman" w:hAnsi="Times New Roman" w:eastAsia="宋体" w:cs="Times New Roman"/>
                      <w:i/>
                      <w:color w:val="00B0F0"/>
                      <w:sz w:val="16"/>
                      <w:szCs w:val="16"/>
                      <w:lang w:eastAsia="zh-CN"/>
                    </w:rPr>
                  </w:pPr>
                  <w:r>
                    <w:rPr>
                      <w:rFonts w:hint="eastAsia" w:ascii="Times New Roman" w:hAnsi="Times New Roman" w:eastAsia="宋体" w:cs="Times New Roman"/>
                      <w:i/>
                      <w:color w:val="00B0F0"/>
                      <w:sz w:val="16"/>
                      <w:szCs w:val="16"/>
                    </w:rPr>
                    <w:t>投产之后以何种方式验证是否刷数正确</w:t>
                  </w:r>
                </w:p>
              </w:tc>
            </w:tr>
            <w:tr w14:paraId="2EBD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noWrap w:val="0"/>
                  <w:vAlign w:val="top"/>
                </w:tcPr>
                <w:p w14:paraId="7CD2CE18">
                  <w:pPr>
                    <w:pStyle w:val="34"/>
                    <w:ind w:firstLine="0" w:firstLineChars="0"/>
                    <w:rPr>
                      <w:color w:val="auto"/>
                      <w:kern w:val="0"/>
                    </w:rPr>
                  </w:pPr>
                </w:p>
              </w:tc>
              <w:tc>
                <w:tcPr>
                  <w:tcW w:w="3296" w:type="dxa"/>
                  <w:noWrap w:val="0"/>
                  <w:vAlign w:val="top"/>
                </w:tcPr>
                <w:p w14:paraId="5C8D2522">
                  <w:pPr>
                    <w:pStyle w:val="34"/>
                    <w:ind w:firstLine="0" w:firstLineChars="0"/>
                    <w:rPr>
                      <w:color w:val="auto"/>
                      <w:kern w:val="0"/>
                    </w:rPr>
                  </w:pPr>
                </w:p>
              </w:tc>
              <w:tc>
                <w:tcPr>
                  <w:tcW w:w="3174" w:type="dxa"/>
                  <w:noWrap w:val="0"/>
                  <w:vAlign w:val="top"/>
                </w:tcPr>
                <w:p w14:paraId="39DB6CD8">
                  <w:pPr>
                    <w:pStyle w:val="34"/>
                    <w:ind w:firstLine="0" w:firstLineChars="0"/>
                    <w:rPr>
                      <w:color w:val="auto"/>
                      <w:kern w:val="0"/>
                    </w:rPr>
                  </w:pPr>
                </w:p>
              </w:tc>
            </w:tr>
            <w:tr w14:paraId="0D90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noWrap w:val="0"/>
                  <w:vAlign w:val="top"/>
                </w:tcPr>
                <w:p w14:paraId="64EEB0FD">
                  <w:pPr>
                    <w:pStyle w:val="34"/>
                    <w:ind w:firstLine="0" w:firstLineChars="0"/>
                    <w:rPr>
                      <w:color w:val="auto"/>
                      <w:kern w:val="0"/>
                    </w:rPr>
                  </w:pPr>
                </w:p>
              </w:tc>
              <w:tc>
                <w:tcPr>
                  <w:tcW w:w="3296" w:type="dxa"/>
                  <w:noWrap w:val="0"/>
                  <w:vAlign w:val="top"/>
                </w:tcPr>
                <w:p w14:paraId="4C6B7D09">
                  <w:pPr>
                    <w:pStyle w:val="34"/>
                    <w:ind w:firstLine="0" w:firstLineChars="0"/>
                    <w:rPr>
                      <w:color w:val="auto"/>
                      <w:kern w:val="0"/>
                    </w:rPr>
                  </w:pPr>
                </w:p>
              </w:tc>
              <w:tc>
                <w:tcPr>
                  <w:tcW w:w="3174" w:type="dxa"/>
                  <w:noWrap w:val="0"/>
                  <w:vAlign w:val="top"/>
                </w:tcPr>
                <w:p w14:paraId="207A75EC">
                  <w:pPr>
                    <w:pStyle w:val="34"/>
                    <w:ind w:firstLine="0" w:firstLineChars="0"/>
                    <w:rPr>
                      <w:color w:val="auto"/>
                      <w:kern w:val="0"/>
                    </w:rPr>
                  </w:pPr>
                </w:p>
              </w:tc>
            </w:tr>
          </w:tbl>
          <w:p w14:paraId="63B79F0C">
            <w:pPr>
              <w:pStyle w:val="11"/>
              <w:numPr>
                <w:ilvl w:val="0"/>
                <w:numId w:val="0"/>
              </w:numPr>
              <w:spacing w:after="0"/>
              <w:ind w:left="0" w:leftChars="0" w:firstLine="368" w:firstLineChars="205"/>
              <w:rPr>
                <w:rFonts w:hint="eastAsia"/>
                <w:sz w:val="18"/>
                <w:szCs w:val="18"/>
              </w:rPr>
            </w:pPr>
          </w:p>
        </w:tc>
      </w:tr>
      <w:tr w14:paraId="5FF8E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2226" w:hRule="atLeast"/>
        </w:trPr>
        <w:tc>
          <w:tcPr>
            <w:tcW w:w="1439" w:type="dxa"/>
            <w:tcBorders>
              <w:top w:val="single" w:color="auto" w:sz="6" w:space="0"/>
            </w:tcBorders>
            <w:noWrap w:val="0"/>
            <w:vAlign w:val="center"/>
          </w:tcPr>
          <w:p w14:paraId="50BB0282">
            <w:pPr>
              <w:spacing w:after="0"/>
              <w:jc w:val="center"/>
              <w:rPr>
                <w:rFonts w:hint="eastAsia" w:eastAsia="宋体"/>
                <w:b/>
                <w:sz w:val="20"/>
                <w:lang w:eastAsia="zh-CN"/>
              </w:rPr>
            </w:pPr>
            <w:r>
              <w:rPr>
                <w:rFonts w:hint="eastAsia"/>
                <w:b/>
                <w:sz w:val="20"/>
              </w:rPr>
              <w:t>建议时间要求</w:t>
            </w:r>
            <w:r>
              <w:rPr>
                <w:rFonts w:hint="eastAsia"/>
                <w:b/>
                <w:sz w:val="20"/>
                <w:lang w:eastAsia="zh-CN"/>
              </w:rPr>
              <w:t>（</w:t>
            </w:r>
            <w:r>
              <w:rPr>
                <w:rFonts w:hint="eastAsia" w:ascii="Times New Roman" w:hAnsi="Times New Roman" w:eastAsia="宋体" w:cs="Times New Roman"/>
                <w:i/>
                <w:color w:val="00B0F0"/>
                <w:sz w:val="16"/>
                <w:szCs w:val="16"/>
              </w:rPr>
              <w:t>注：描述项目完成的时间要求或计划。</w:t>
            </w:r>
            <w:r>
              <w:rPr>
                <w:rFonts w:hint="eastAsia"/>
                <w:b/>
                <w:sz w:val="20"/>
                <w:lang w:eastAsia="zh-CN"/>
              </w:rPr>
              <w:t>）</w:t>
            </w:r>
          </w:p>
        </w:tc>
        <w:tc>
          <w:tcPr>
            <w:tcW w:w="8821" w:type="dxa"/>
            <w:gridSpan w:val="6"/>
            <w:tcBorders>
              <w:top w:val="single" w:color="auto" w:sz="6" w:space="0"/>
            </w:tcBorders>
            <w:noWrap w:val="0"/>
            <w:vAlign w:val="top"/>
          </w:tcPr>
          <w:tbl>
            <w:tblPr>
              <w:tblStyle w:val="23"/>
              <w:tblW w:w="886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3349"/>
              <w:gridCol w:w="4022"/>
            </w:tblGrid>
            <w:tr w14:paraId="3822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7" w:type="dxa"/>
                  <w:shd w:val="clear" w:color="auto" w:fill="F1F1F1"/>
                  <w:noWrap w:val="0"/>
                  <w:vAlign w:val="top"/>
                </w:tcPr>
                <w:p w14:paraId="2EF70FE7">
                  <w:pPr>
                    <w:spacing w:line="360" w:lineRule="auto"/>
                    <w:jc w:val="center"/>
                    <w:rPr>
                      <w:rFonts w:ascii="仿宋" w:hAnsi="仿宋" w:eastAsia="仿宋" w:cs="宋体"/>
                      <w:b/>
                      <w:sz w:val="24"/>
                      <w:szCs w:val="24"/>
                    </w:rPr>
                  </w:pPr>
                  <w:r>
                    <w:rPr>
                      <w:rFonts w:hint="eastAsia" w:ascii="仿宋" w:hAnsi="仿宋" w:eastAsia="仿宋" w:cs="宋体"/>
                      <w:b/>
                      <w:sz w:val="24"/>
                      <w:szCs w:val="24"/>
                    </w:rPr>
                    <w:t>投产方式</w:t>
                  </w:r>
                </w:p>
              </w:tc>
              <w:tc>
                <w:tcPr>
                  <w:tcW w:w="3349" w:type="dxa"/>
                  <w:shd w:val="clear" w:color="auto" w:fill="F1F1F1"/>
                  <w:noWrap w:val="0"/>
                  <w:vAlign w:val="top"/>
                </w:tcPr>
                <w:p w14:paraId="260F7431">
                  <w:pPr>
                    <w:spacing w:line="360" w:lineRule="auto"/>
                    <w:jc w:val="center"/>
                    <w:rPr>
                      <w:rFonts w:ascii="仿宋" w:hAnsi="仿宋" w:eastAsia="仿宋" w:cs="宋体"/>
                      <w:b/>
                      <w:sz w:val="24"/>
                      <w:szCs w:val="24"/>
                    </w:rPr>
                  </w:pPr>
                  <w:r>
                    <w:rPr>
                      <w:rFonts w:hint="eastAsia" w:ascii="仿宋" w:hAnsi="仿宋" w:eastAsia="仿宋" w:cs="宋体"/>
                      <w:b/>
                      <w:sz w:val="24"/>
                      <w:szCs w:val="24"/>
                    </w:rPr>
                    <w:t>预期投产</w:t>
                  </w:r>
                  <w:r>
                    <w:rPr>
                      <w:rFonts w:ascii="仿宋" w:hAnsi="仿宋" w:eastAsia="仿宋" w:cs="宋体"/>
                      <w:b/>
                      <w:sz w:val="24"/>
                      <w:szCs w:val="24"/>
                    </w:rPr>
                    <w:t>时间</w:t>
                  </w:r>
                  <w:r>
                    <w:rPr>
                      <w:rFonts w:hint="eastAsia" w:ascii="仿宋" w:hAnsi="仿宋" w:eastAsia="仿宋" w:cs="宋体"/>
                      <w:b/>
                      <w:sz w:val="24"/>
                      <w:szCs w:val="24"/>
                    </w:rPr>
                    <w:t>要求</w:t>
                  </w:r>
                </w:p>
              </w:tc>
              <w:tc>
                <w:tcPr>
                  <w:tcW w:w="4022" w:type="dxa"/>
                  <w:shd w:val="clear" w:color="auto" w:fill="F1F1F1"/>
                  <w:noWrap w:val="0"/>
                  <w:vAlign w:val="top"/>
                </w:tcPr>
                <w:p w14:paraId="1B3D4E5A">
                  <w:pPr>
                    <w:spacing w:line="360" w:lineRule="auto"/>
                    <w:jc w:val="center"/>
                    <w:rPr>
                      <w:rFonts w:ascii="仿宋" w:hAnsi="仿宋" w:eastAsia="仿宋" w:cs="宋体"/>
                      <w:b/>
                      <w:sz w:val="24"/>
                      <w:szCs w:val="24"/>
                    </w:rPr>
                  </w:pPr>
                  <w:r>
                    <w:rPr>
                      <w:rFonts w:hint="eastAsia" w:ascii="仿宋" w:hAnsi="仿宋" w:eastAsia="仿宋" w:cs="宋体"/>
                      <w:b/>
                      <w:sz w:val="24"/>
                      <w:szCs w:val="24"/>
                    </w:rPr>
                    <w:t>投产</w:t>
                  </w:r>
                  <w:r>
                    <w:rPr>
                      <w:rFonts w:ascii="仿宋" w:hAnsi="仿宋" w:eastAsia="仿宋" w:cs="宋体"/>
                      <w:b/>
                      <w:sz w:val="24"/>
                      <w:szCs w:val="24"/>
                    </w:rPr>
                    <w:t>说明</w:t>
                  </w:r>
                </w:p>
              </w:tc>
            </w:tr>
            <w:tr w14:paraId="1D29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7" w:type="dxa"/>
                  <w:noWrap w:val="0"/>
                  <w:vAlign w:val="center"/>
                </w:tcPr>
                <w:p w14:paraId="6A0E7590">
                  <w:pPr>
                    <w:spacing w:line="360" w:lineRule="auto"/>
                    <w:rPr>
                      <w:rFonts w:hint="default" w:ascii="仿宋" w:hAnsi="仿宋" w:eastAsia="仿宋" w:cs="宋体"/>
                      <w:sz w:val="24"/>
                      <w:szCs w:val="24"/>
                      <w:lang w:val="en-US" w:eastAsia="zh-CN"/>
                    </w:rPr>
                  </w:pPr>
                  <w:r>
                    <w:rPr>
                      <w:rFonts w:hint="eastAsia" w:ascii="仿宋" w:hAnsi="仿宋" w:eastAsia="仿宋" w:cs="宋体"/>
                      <w:sz w:val="24"/>
                      <w:szCs w:val="24"/>
                    </w:rPr>
                    <w:t>常规</w:t>
                  </w:r>
                  <w:r>
                    <w:rPr>
                      <w:rFonts w:ascii="仿宋" w:hAnsi="仿宋" w:eastAsia="仿宋" w:cs="宋体"/>
                      <w:sz w:val="24"/>
                      <w:szCs w:val="24"/>
                    </w:rPr>
                    <w:t>投产</w:t>
                  </w:r>
                  <w:r>
                    <w:rPr>
                      <w:rFonts w:hint="eastAsia" w:ascii="仿宋" w:hAnsi="仿宋" w:eastAsia="仿宋" w:cs="宋体"/>
                      <w:sz w:val="24"/>
                      <w:szCs w:val="24"/>
                      <w:lang w:val="en-US" w:eastAsia="zh-CN"/>
                    </w:rPr>
                    <w:t>/特殊投产</w:t>
                  </w:r>
                </w:p>
              </w:tc>
              <w:tc>
                <w:tcPr>
                  <w:tcW w:w="3349" w:type="dxa"/>
                  <w:noWrap w:val="0"/>
                  <w:vAlign w:val="center"/>
                </w:tcPr>
                <w:p w14:paraId="274B3DE8">
                  <w:pPr>
                    <w:spacing w:line="360" w:lineRule="auto"/>
                    <w:rPr>
                      <w:rFonts w:hint="eastAsia" w:ascii="仿宋" w:hAnsi="仿宋" w:eastAsia="仿宋" w:cs="宋体"/>
                      <w:sz w:val="24"/>
                      <w:szCs w:val="24"/>
                      <w:lang w:val="en-US" w:eastAsia="zh-CN"/>
                    </w:rPr>
                  </w:pPr>
                  <w:r>
                    <w:rPr>
                      <w:rFonts w:hint="eastAsia" w:ascii="仿宋" w:hAnsi="仿宋" w:eastAsia="仿宋" w:cs="宋体"/>
                      <w:sz w:val="24"/>
                      <w:szCs w:val="24"/>
                      <w:lang w:val="en-US" w:eastAsia="zh-CN"/>
                    </w:rPr>
                    <w:t>2025</w:t>
                  </w:r>
                  <w:r>
                    <w:rPr>
                      <w:rFonts w:hint="eastAsia" w:ascii="仿宋" w:hAnsi="仿宋" w:eastAsia="仿宋" w:cs="宋体"/>
                      <w:sz w:val="24"/>
                      <w:szCs w:val="24"/>
                    </w:rPr>
                    <w:t>年</w:t>
                  </w:r>
                  <w:r>
                    <w:rPr>
                      <w:rFonts w:hint="eastAsia" w:ascii="仿宋" w:hAnsi="仿宋" w:eastAsia="仿宋" w:cs="宋体"/>
                      <w:sz w:val="24"/>
                      <w:szCs w:val="24"/>
                      <w:lang w:val="en-US" w:eastAsia="zh-CN"/>
                    </w:rPr>
                    <w:t>10</w:t>
                  </w:r>
                  <w:r>
                    <w:rPr>
                      <w:rFonts w:hint="eastAsia" w:ascii="仿宋" w:hAnsi="仿宋" w:eastAsia="仿宋" w:cs="宋体"/>
                      <w:sz w:val="24"/>
                      <w:szCs w:val="24"/>
                    </w:rPr>
                    <w:t>月</w:t>
                  </w:r>
                  <w:r>
                    <w:rPr>
                      <w:rFonts w:hint="eastAsia" w:ascii="仿宋" w:hAnsi="仿宋" w:eastAsia="仿宋" w:cs="宋体"/>
                      <w:sz w:val="24"/>
                      <w:szCs w:val="24"/>
                      <w:lang w:val="en-US" w:eastAsia="zh-CN"/>
                    </w:rPr>
                    <w:t>3</w:t>
                  </w:r>
                  <w:r>
                    <w:rPr>
                      <w:rFonts w:hint="eastAsia" w:ascii="仿宋" w:hAnsi="仿宋" w:eastAsia="仿宋" w:cs="宋体"/>
                      <w:sz w:val="24"/>
                      <w:szCs w:val="24"/>
                    </w:rPr>
                    <w:t>日</w:t>
                  </w:r>
                  <w:r>
                    <w:rPr>
                      <w:rFonts w:hint="eastAsia" w:ascii="仿宋" w:hAnsi="仿宋" w:eastAsia="仿宋" w:cs="宋体"/>
                      <w:sz w:val="24"/>
                      <w:szCs w:val="24"/>
                      <w:lang w:eastAsia="zh-CN"/>
                    </w:rPr>
                    <w:t>，</w:t>
                  </w:r>
                  <w:r>
                    <w:rPr>
                      <w:rFonts w:hint="eastAsia" w:ascii="仿宋" w:hAnsi="仿宋" w:eastAsia="仿宋" w:cs="宋体"/>
                      <w:sz w:val="24"/>
                      <w:szCs w:val="24"/>
                      <w:lang w:val="en-US" w:eastAsia="zh-CN"/>
                    </w:rPr>
                    <w:t>投产全部功能</w:t>
                  </w:r>
                </w:p>
                <w:p w14:paraId="26015BFC">
                  <w:pPr>
                    <w:spacing w:line="360" w:lineRule="auto"/>
                    <w:rPr>
                      <w:rFonts w:hint="eastAsia" w:ascii="仿宋" w:hAnsi="仿宋" w:eastAsia="仿宋" w:cs="宋体"/>
                      <w:sz w:val="24"/>
                      <w:szCs w:val="24"/>
                      <w:lang w:eastAsia="zh-CN"/>
                    </w:rPr>
                  </w:pPr>
                  <w:r>
                    <w:rPr>
                      <w:rFonts w:hint="eastAsia" w:ascii="Times New Roman" w:hAnsi="Times New Roman" w:eastAsia="宋体" w:cs="Times New Roman"/>
                      <w:i/>
                      <w:color w:val="00B0F0"/>
                      <w:sz w:val="16"/>
                      <w:szCs w:val="16"/>
                      <w:lang w:eastAsia="zh-CN"/>
                    </w:rPr>
                    <w:t>（</w:t>
                  </w:r>
                  <w:r>
                    <w:rPr>
                      <w:rFonts w:hint="eastAsia" w:ascii="Times New Roman" w:hAnsi="Times New Roman" w:eastAsia="宋体" w:cs="Times New Roman"/>
                      <w:i/>
                      <w:color w:val="00B0F0"/>
                      <w:sz w:val="16"/>
                      <w:szCs w:val="16"/>
                      <w:lang w:val="en-US" w:eastAsia="zh-CN"/>
                    </w:rPr>
                    <w:t>如涉及分期投产，分期详细说明</w:t>
                  </w:r>
                  <w:r>
                    <w:rPr>
                      <w:rFonts w:hint="eastAsia" w:ascii="Times New Roman" w:hAnsi="Times New Roman" w:eastAsia="宋体" w:cs="Times New Roman"/>
                      <w:i/>
                      <w:color w:val="00B0F0"/>
                      <w:sz w:val="16"/>
                      <w:szCs w:val="16"/>
                      <w:lang w:eastAsia="zh-CN"/>
                    </w:rPr>
                    <w:t>）</w:t>
                  </w:r>
                </w:p>
              </w:tc>
              <w:tc>
                <w:tcPr>
                  <w:tcW w:w="4022" w:type="dxa"/>
                  <w:noWrap w:val="0"/>
                  <w:vAlign w:val="top"/>
                </w:tcPr>
                <w:p w14:paraId="272D9540">
                  <w:pPr>
                    <w:spacing w:line="360" w:lineRule="auto"/>
                    <w:rPr>
                      <w:rFonts w:hint="default" w:ascii="Times New Roman" w:hAnsi="Times New Roman" w:eastAsia="宋体" w:cs="Times New Roman"/>
                      <w:i/>
                      <w:color w:val="00B0F0"/>
                      <w:sz w:val="16"/>
                      <w:szCs w:val="16"/>
                      <w:lang w:val="en-US" w:eastAsia="zh-CN"/>
                    </w:rPr>
                  </w:pPr>
                  <w:r>
                    <w:rPr>
                      <w:rFonts w:hint="eastAsia" w:ascii="Times New Roman" w:hAnsi="Times New Roman" w:eastAsia="宋体" w:cs="Times New Roman"/>
                      <w:i/>
                      <w:color w:val="00B0F0"/>
                      <w:sz w:val="16"/>
                      <w:szCs w:val="16"/>
                      <w:lang w:val="en-US" w:eastAsia="zh-CN"/>
                    </w:rPr>
                    <w:t>本栏位填写说明：</w:t>
                  </w:r>
                </w:p>
                <w:p w14:paraId="6021C835">
                  <w:pPr>
                    <w:spacing w:line="360" w:lineRule="auto"/>
                    <w:rPr>
                      <w:rFonts w:hint="eastAsia" w:ascii="Times New Roman" w:hAnsi="Times New Roman" w:eastAsia="宋体" w:cs="Times New Roman"/>
                      <w:i/>
                      <w:color w:val="00B0F0"/>
                      <w:sz w:val="16"/>
                      <w:szCs w:val="16"/>
                      <w:lang w:val="en-US" w:eastAsia="zh-CN"/>
                    </w:rPr>
                  </w:pPr>
                  <w:r>
                    <w:rPr>
                      <w:rFonts w:hint="eastAsia" w:ascii="Times New Roman" w:hAnsi="Times New Roman" w:eastAsia="宋体" w:cs="Times New Roman"/>
                      <w:i/>
                      <w:color w:val="00B0F0"/>
                      <w:sz w:val="16"/>
                      <w:szCs w:val="16"/>
                      <w:lang w:val="en-US" w:eastAsia="zh-CN"/>
                    </w:rPr>
                    <w:t>1、常规投产选填；</w:t>
                  </w:r>
                </w:p>
                <w:p w14:paraId="7C24EEF7">
                  <w:pPr>
                    <w:spacing w:line="360" w:lineRule="auto"/>
                    <w:rPr>
                      <w:rFonts w:hint="eastAsia" w:ascii="Times New Roman" w:hAnsi="Times New Roman" w:eastAsia="宋体" w:cs="Times New Roman"/>
                      <w:i/>
                      <w:color w:val="00B0F0"/>
                      <w:sz w:val="16"/>
                      <w:szCs w:val="16"/>
                      <w:lang w:val="en-US" w:eastAsia="zh-CN"/>
                    </w:rPr>
                  </w:pPr>
                  <w:r>
                    <w:rPr>
                      <w:rFonts w:hint="eastAsia" w:ascii="Times New Roman" w:hAnsi="Times New Roman" w:eastAsia="宋体" w:cs="Times New Roman"/>
                      <w:i/>
                      <w:color w:val="00B0F0"/>
                      <w:sz w:val="16"/>
                      <w:szCs w:val="16"/>
                      <w:lang w:val="en-US" w:eastAsia="zh-CN"/>
                    </w:rPr>
                    <w:t>2、特殊投产必填（涉及监管机构或第三方机构有特殊投产时间要求的）。</w:t>
                  </w:r>
                </w:p>
                <w:p w14:paraId="0B1E86D0">
                  <w:pPr>
                    <w:spacing w:line="360" w:lineRule="auto"/>
                    <w:rPr>
                      <w:rFonts w:hint="default" w:ascii="仿宋" w:hAnsi="仿宋" w:eastAsia="仿宋" w:cs="宋体"/>
                      <w:sz w:val="24"/>
                      <w:szCs w:val="24"/>
                      <w:lang w:val="en-US" w:eastAsia="zh-CN"/>
                    </w:rPr>
                  </w:pPr>
                </w:p>
              </w:tc>
            </w:tr>
          </w:tbl>
          <w:p w14:paraId="20DBD08A">
            <w:pPr>
              <w:pStyle w:val="11"/>
              <w:numPr>
                <w:ilvl w:val="0"/>
                <w:numId w:val="0"/>
              </w:numPr>
              <w:spacing w:after="0"/>
              <w:ind w:firstLine="368" w:firstLineChars="205"/>
              <w:rPr>
                <w:rFonts w:hint="eastAsia"/>
                <w:sz w:val="18"/>
                <w:szCs w:val="18"/>
              </w:rPr>
            </w:pPr>
          </w:p>
        </w:tc>
      </w:tr>
      <w:tr w14:paraId="72CF8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3386" w:hRule="atLeast"/>
        </w:trPr>
        <w:tc>
          <w:tcPr>
            <w:tcW w:w="1439" w:type="dxa"/>
            <w:tcBorders>
              <w:top w:val="single" w:color="auto" w:sz="6" w:space="0"/>
            </w:tcBorders>
            <w:noWrap w:val="0"/>
            <w:vAlign w:val="center"/>
          </w:tcPr>
          <w:p w14:paraId="754F47B2">
            <w:pPr>
              <w:spacing w:after="0"/>
              <w:jc w:val="center"/>
              <w:rPr>
                <w:rFonts w:hint="eastAsia"/>
                <w:b/>
                <w:sz w:val="18"/>
                <w:szCs w:val="18"/>
              </w:rPr>
            </w:pPr>
            <w:r>
              <w:rPr>
                <w:rFonts w:hint="eastAsia" w:ascii="Times New Roman" w:hAnsi="Times New Roman" w:eastAsia="宋体" w:cs="Times New Roman"/>
                <w:b/>
                <w:sz w:val="20"/>
                <w:lang w:val="en-US" w:eastAsia="zh-CN"/>
              </w:rPr>
              <w:t>外部第三方信息交互</w:t>
            </w:r>
          </w:p>
        </w:tc>
        <w:tc>
          <w:tcPr>
            <w:tcW w:w="8821" w:type="dxa"/>
            <w:gridSpan w:val="6"/>
            <w:tcBorders>
              <w:top w:val="single" w:color="auto" w:sz="6" w:space="0"/>
            </w:tcBorders>
            <w:noWrap w:val="0"/>
            <w:vAlign w:val="top"/>
          </w:tcPr>
          <w:tbl>
            <w:tblPr>
              <w:tblStyle w:val="23"/>
              <w:tblW w:w="882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7"/>
              <w:gridCol w:w="2266"/>
              <w:gridCol w:w="4208"/>
            </w:tblGrid>
            <w:tr w14:paraId="02E4E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1" w:hRule="atLeast"/>
              </w:trPr>
              <w:tc>
                <w:tcPr>
                  <w:tcW w:w="2347" w:type="dxa"/>
                  <w:shd w:val="clear" w:color="auto" w:fill="F1F1F1"/>
                  <w:noWrap w:val="0"/>
                  <w:vAlign w:val="center"/>
                </w:tcPr>
                <w:p w14:paraId="1316FE0E">
                  <w:pPr>
                    <w:jc w:val="center"/>
                    <w:rPr>
                      <w:rFonts w:hint="default" w:ascii="宋体" w:hAnsi="宋体" w:eastAsia="宋体" w:cs="宋体"/>
                      <w:b/>
                      <w:bCs/>
                      <w:color w:val="auto"/>
                      <w:kern w:val="0"/>
                      <w:sz w:val="20"/>
                      <w:lang w:val="en-US" w:eastAsia="zh-CN"/>
                    </w:rPr>
                  </w:pPr>
                  <w:r>
                    <w:rPr>
                      <w:rFonts w:hint="eastAsia" w:ascii="宋体" w:hAnsi="宋体" w:cs="宋体"/>
                      <w:b/>
                      <w:bCs/>
                      <w:color w:val="auto"/>
                      <w:kern w:val="0"/>
                      <w:sz w:val="20"/>
                      <w:lang w:val="en-US" w:eastAsia="zh-CN"/>
                    </w:rPr>
                    <w:t>检查项目</w:t>
                  </w:r>
                </w:p>
              </w:tc>
              <w:tc>
                <w:tcPr>
                  <w:tcW w:w="2266" w:type="dxa"/>
                  <w:shd w:val="clear" w:color="auto" w:fill="F1F1F1"/>
                  <w:noWrap w:val="0"/>
                  <w:vAlign w:val="center"/>
                </w:tcPr>
                <w:p w14:paraId="3B2E4D1B">
                  <w:pPr>
                    <w:jc w:val="center"/>
                    <w:rPr>
                      <w:rFonts w:ascii="宋体" w:hAnsi="宋体" w:cs="宋体"/>
                      <w:b/>
                      <w:bCs/>
                      <w:color w:val="auto"/>
                      <w:kern w:val="0"/>
                      <w:sz w:val="20"/>
                    </w:rPr>
                  </w:pPr>
                  <w:r>
                    <w:rPr>
                      <w:rFonts w:hint="eastAsia" w:ascii="宋体" w:hAnsi="宋体" w:cs="宋体"/>
                      <w:b/>
                      <w:bCs/>
                      <w:color w:val="auto"/>
                      <w:kern w:val="0"/>
                      <w:sz w:val="20"/>
                    </w:rPr>
                    <w:t>选项</w:t>
                  </w:r>
                </w:p>
              </w:tc>
              <w:tc>
                <w:tcPr>
                  <w:tcW w:w="4208" w:type="dxa"/>
                  <w:shd w:val="clear" w:color="auto" w:fill="F1F1F1"/>
                  <w:noWrap w:val="0"/>
                  <w:vAlign w:val="center"/>
                </w:tcPr>
                <w:p w14:paraId="54364F1C">
                  <w:pPr>
                    <w:jc w:val="center"/>
                    <w:rPr>
                      <w:b/>
                      <w:iCs/>
                      <w:color w:val="auto"/>
                      <w:sz w:val="20"/>
                    </w:rPr>
                  </w:pPr>
                  <w:r>
                    <w:rPr>
                      <w:rFonts w:hint="eastAsia"/>
                      <w:b/>
                      <w:iCs/>
                      <w:color w:val="auto"/>
                      <w:sz w:val="20"/>
                      <w:lang w:val="en-US" w:eastAsia="zh-CN"/>
                    </w:rPr>
                    <w:t>原因</w:t>
                  </w:r>
                  <w:r>
                    <w:rPr>
                      <w:rFonts w:hint="eastAsia"/>
                      <w:b/>
                      <w:iCs/>
                      <w:color w:val="auto"/>
                      <w:sz w:val="20"/>
                    </w:rPr>
                    <w:t>说明</w:t>
                  </w:r>
                </w:p>
              </w:tc>
            </w:tr>
          </w:tbl>
          <w:tbl>
            <w:tblPr>
              <w:tblStyle w:val="24"/>
              <w:tblW w:w="882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1"/>
              <w:gridCol w:w="2261"/>
              <w:gridCol w:w="4209"/>
            </w:tblGrid>
            <w:tr w14:paraId="6554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22" w:hRule="atLeast"/>
              </w:trPr>
              <w:tc>
                <w:tcPr>
                  <w:tcW w:w="2351" w:type="dxa"/>
                  <w:noWrap w:val="0"/>
                  <w:vAlign w:val="center"/>
                </w:tcPr>
                <w:p w14:paraId="6D90F17C">
                  <w:pPr>
                    <w:rPr>
                      <w:rFonts w:hint="eastAsia" w:ascii="宋体" w:hAnsi="宋体" w:eastAsia="宋体" w:cs="宋体"/>
                      <w:bCs/>
                      <w:color w:val="auto"/>
                      <w:kern w:val="0"/>
                      <w:sz w:val="20"/>
                      <w:lang w:val="en-US" w:eastAsia="zh-CN"/>
                    </w:rPr>
                  </w:pPr>
                  <w:r>
                    <w:rPr>
                      <w:rFonts w:hint="eastAsia" w:ascii="宋体" w:hAnsi="宋体" w:cs="宋体"/>
                      <w:bCs/>
                      <w:color w:val="auto"/>
                      <w:kern w:val="0"/>
                      <w:sz w:val="20"/>
                    </w:rPr>
                    <w:t>是否</w:t>
                  </w:r>
                  <w:r>
                    <w:rPr>
                      <w:rFonts w:hint="eastAsia" w:ascii="宋体" w:hAnsi="宋体" w:eastAsia="宋体" w:cs="宋体"/>
                      <w:bCs/>
                      <w:color w:val="auto"/>
                      <w:kern w:val="0"/>
                      <w:sz w:val="20"/>
                    </w:rPr>
                    <w:t>涉及</w:t>
                  </w:r>
                  <w:r>
                    <w:rPr>
                      <w:rFonts w:hint="eastAsia" w:ascii="宋体" w:hAnsi="宋体" w:eastAsia="宋体" w:cs="宋体"/>
                      <w:bCs/>
                      <w:color w:val="auto"/>
                      <w:kern w:val="0"/>
                      <w:sz w:val="20"/>
                      <w:lang w:val="en-US" w:eastAsia="zh-CN"/>
                    </w:rPr>
                    <w:t>与外部第三方敏感信息交互</w:t>
                  </w:r>
                </w:p>
              </w:tc>
              <w:tc>
                <w:tcPr>
                  <w:tcW w:w="2261" w:type="dxa"/>
                  <w:noWrap w:val="0"/>
                  <w:vAlign w:val="top"/>
                </w:tcPr>
                <w:p w14:paraId="62E83863">
                  <w:pPr>
                    <w:rPr>
                      <w:rFonts w:ascii="宋体" w:hAnsi="宋体" w:cs="宋体"/>
                      <w:bCs/>
                      <w:color w:val="auto"/>
                      <w:kern w:val="0"/>
                      <w:sz w:val="20"/>
                      <w:u w:val="single"/>
                    </w:rPr>
                  </w:pPr>
                  <w:r>
                    <w:rPr>
                      <w:rFonts w:ascii="宋体" w:hAnsi="宋体" w:eastAsia="宋体" w:cs="宋体"/>
                      <w:bCs/>
                      <w:color w:val="auto"/>
                      <w:kern w:val="0"/>
                      <w:sz w:val="20"/>
                      <w:szCs w:val="20"/>
                    </w:rPr>
                    <w:object>
                      <v:shape id="_x0000_i1027" o:spt="201" type="#_x0000_t201" style="height:13.5pt;width:16.5pt;" o:ole="t" filled="f" o:preferrelative="t" stroked="f" coordsize="21600,21600">
                        <v:path/>
                        <v:fill on="f" focussize="0,0"/>
                        <v:stroke on="f"/>
                        <v:imagedata r:id="rId10" o:title=""/>
                        <o:lock v:ext="edit" aspectratio="t"/>
                        <w10:wrap type="none"/>
                        <w10:anchorlock/>
                      </v:shape>
                      <w:control r:id="rId13" w:name="HTMLCheckbox10" w:shapeid="_x0000_i1027"/>
                    </w:object>
                  </w:r>
                  <w:r>
                    <w:rPr>
                      <w:rFonts w:hint="eastAsia" w:ascii="宋体" w:hAnsi="宋体" w:cs="宋体"/>
                      <w:bCs/>
                      <w:color w:val="auto"/>
                      <w:kern w:val="0"/>
                      <w:sz w:val="20"/>
                    </w:rPr>
                    <w:t>是</w:t>
                  </w:r>
                </w:p>
                <w:p w14:paraId="1DBE2ADF">
                  <w:pPr>
                    <w:rPr>
                      <w:rFonts w:ascii="宋体" w:hAnsi="宋体" w:eastAsia="宋体" w:cs="宋体"/>
                      <w:bCs/>
                      <w:color w:val="auto"/>
                      <w:kern w:val="0"/>
                      <w:sz w:val="20"/>
                      <w:szCs w:val="20"/>
                    </w:rPr>
                  </w:pPr>
                  <w:r>
                    <w:rPr>
                      <w:rFonts w:ascii="宋体" w:hAnsi="宋体" w:eastAsia="宋体" w:cs="宋体"/>
                      <w:bCs/>
                      <w:color w:val="auto"/>
                      <w:kern w:val="0"/>
                      <w:sz w:val="20"/>
                      <w:szCs w:val="20"/>
                    </w:rPr>
                    <w:object>
                      <v:shape id="_x0000_i1028" o:spt="201" type="#_x0000_t201" style="height:13.5pt;width:16.5pt;" o:ole="t" filled="f" o:preferrelative="t" stroked="f" coordsize="21600,21600">
                        <v:path/>
                        <v:fill on="f" focussize="0,0"/>
                        <v:stroke on="f"/>
                        <v:imagedata r:id="rId12" o:title=""/>
                        <o:lock v:ext="edit" aspectratio="t"/>
                        <w10:wrap type="none"/>
                        <w10:anchorlock/>
                      </v:shape>
                      <w:control r:id="rId14" w:name="HTMLCheckbox11" w:shapeid="_x0000_i1028"/>
                    </w:object>
                  </w:r>
                  <w:r>
                    <w:rPr>
                      <w:rFonts w:hint="eastAsia" w:ascii="宋体" w:hAnsi="宋体" w:cs="宋体"/>
                      <w:bCs/>
                      <w:color w:val="auto"/>
                      <w:kern w:val="0"/>
                      <w:sz w:val="20"/>
                    </w:rPr>
                    <w:t>否</w:t>
                  </w:r>
                </w:p>
              </w:tc>
              <w:tc>
                <w:tcPr>
                  <w:tcW w:w="4209" w:type="dxa"/>
                  <w:vMerge w:val="restart"/>
                  <w:noWrap w:val="0"/>
                  <w:vAlign w:val="center"/>
                </w:tcPr>
                <w:p w14:paraId="6A7E6A95">
                  <w:pPr>
                    <w:rPr>
                      <w:rFonts w:hint="eastAsia" w:ascii="Times New Roman" w:hAnsi="Times New Roman" w:eastAsia="宋体" w:cs="Times New Roman"/>
                      <w:i/>
                      <w:color w:val="00B0F0"/>
                      <w:sz w:val="16"/>
                      <w:szCs w:val="16"/>
                      <w:lang w:val="en-US" w:eastAsia="zh-CN"/>
                    </w:rPr>
                  </w:pPr>
                  <w:r>
                    <w:rPr>
                      <w:rFonts w:hint="eastAsia" w:ascii="Times New Roman" w:hAnsi="Times New Roman" w:eastAsia="宋体" w:cs="Times New Roman"/>
                      <w:i/>
                      <w:color w:val="00B0F0"/>
                      <w:sz w:val="16"/>
                      <w:szCs w:val="16"/>
                      <w:lang w:val="en-US" w:eastAsia="zh-CN"/>
                    </w:rPr>
                    <w:t>请详细描述与外部第三方交互的敏感信息，及未脱敏的敏感信息，及未脱敏的原因。</w:t>
                  </w:r>
                </w:p>
                <w:p w14:paraId="53C7888F">
                  <w:pPr>
                    <w:rPr>
                      <w:rFonts w:hint="eastAsia" w:ascii="宋体" w:hAnsi="宋体" w:eastAsia="宋体" w:cs="宋体"/>
                      <w:b/>
                      <w:bCs/>
                      <w:color w:val="auto"/>
                      <w:kern w:val="0"/>
                      <w:sz w:val="20"/>
                      <w:szCs w:val="20"/>
                      <w:lang w:val="en-US" w:eastAsia="zh-CN"/>
                    </w:rPr>
                  </w:pPr>
                  <w:r>
                    <w:rPr>
                      <w:rFonts w:hint="eastAsia" w:ascii="Times New Roman" w:hAnsi="Times New Roman" w:eastAsia="宋体" w:cs="Times New Roman"/>
                      <w:i/>
                      <w:color w:val="00B0F0"/>
                      <w:sz w:val="16"/>
                      <w:szCs w:val="16"/>
                      <w:lang w:val="en-US" w:eastAsia="zh-CN"/>
                    </w:rPr>
                    <w:t>请详细描述敏感信息交互的必要性和“最小授权”原则。</w:t>
                  </w:r>
                </w:p>
              </w:tc>
            </w:tr>
            <w:tr w14:paraId="658E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49" w:hRule="atLeast"/>
              </w:trPr>
              <w:tc>
                <w:tcPr>
                  <w:tcW w:w="2351" w:type="dxa"/>
                  <w:noWrap w:val="0"/>
                  <w:vAlign w:val="center"/>
                </w:tcPr>
                <w:p w14:paraId="12B8D482">
                  <w:pPr>
                    <w:rPr>
                      <w:rFonts w:hint="default" w:ascii="宋体" w:hAnsi="宋体" w:eastAsia="宋体" w:cs="宋体"/>
                      <w:b/>
                      <w:bCs/>
                      <w:color w:val="auto"/>
                      <w:kern w:val="0"/>
                      <w:sz w:val="20"/>
                      <w:szCs w:val="20"/>
                      <w:lang w:val="en-US"/>
                    </w:rPr>
                  </w:pPr>
                  <w:r>
                    <w:rPr>
                      <w:rFonts w:hint="eastAsia" w:ascii="宋体" w:hAnsi="宋体" w:eastAsia="宋体" w:cs="宋体"/>
                      <w:bCs/>
                      <w:color w:val="auto"/>
                      <w:kern w:val="0"/>
                      <w:sz w:val="20"/>
                      <w:lang w:val="en-US" w:eastAsia="zh-CN"/>
                    </w:rPr>
                    <w:t>敏感信息是否脱敏</w:t>
                  </w:r>
                </w:p>
              </w:tc>
              <w:tc>
                <w:tcPr>
                  <w:tcW w:w="2261" w:type="dxa"/>
                  <w:noWrap w:val="0"/>
                  <w:vAlign w:val="top"/>
                </w:tcPr>
                <w:p w14:paraId="4B163664">
                  <w:pPr>
                    <w:rPr>
                      <w:rFonts w:ascii="宋体" w:hAnsi="宋体" w:cs="宋体"/>
                      <w:bCs/>
                      <w:color w:val="auto"/>
                      <w:kern w:val="0"/>
                      <w:sz w:val="20"/>
                      <w:u w:val="single"/>
                    </w:rPr>
                  </w:pPr>
                  <w:r>
                    <w:rPr>
                      <w:rFonts w:ascii="宋体" w:hAnsi="宋体" w:eastAsia="宋体" w:cs="宋体"/>
                      <w:bCs/>
                      <w:color w:val="auto"/>
                      <w:kern w:val="0"/>
                      <w:sz w:val="20"/>
                      <w:szCs w:val="20"/>
                    </w:rPr>
                    <w:object>
                      <v:shape id="_x0000_i1029" o:spt="201" type="#_x0000_t201" style="height:13.5pt;width:16.5pt;" o:ole="t" filled="f" o:preferrelative="t" stroked="f" coordsize="21600,21600">
                        <v:path/>
                        <v:fill on="f" focussize="0,0"/>
                        <v:stroke on="f"/>
                        <v:imagedata r:id="rId12" o:title=""/>
                        <o:lock v:ext="edit" aspectratio="t"/>
                        <w10:wrap type="none"/>
                        <w10:anchorlock/>
                      </v:shape>
                      <w:control r:id="rId15" w:name="HTMLCheckbox7" w:shapeid="_x0000_i1029"/>
                    </w:object>
                  </w:r>
                  <w:r>
                    <w:rPr>
                      <w:rFonts w:hint="eastAsia" w:ascii="宋体" w:hAnsi="宋体" w:cs="宋体"/>
                      <w:bCs/>
                      <w:color w:val="auto"/>
                      <w:kern w:val="0"/>
                      <w:sz w:val="20"/>
                    </w:rPr>
                    <w:t>是</w:t>
                  </w:r>
                </w:p>
                <w:p w14:paraId="3EF83D2A">
                  <w:pPr>
                    <w:rPr>
                      <w:rFonts w:hint="eastAsia" w:ascii="宋体" w:hAnsi="宋体" w:cs="宋体"/>
                      <w:bCs/>
                      <w:color w:val="auto"/>
                      <w:kern w:val="0"/>
                      <w:sz w:val="20"/>
                    </w:rPr>
                  </w:pPr>
                  <w:r>
                    <w:rPr>
                      <w:rFonts w:ascii="宋体" w:hAnsi="宋体" w:eastAsia="宋体" w:cs="宋体"/>
                      <w:bCs/>
                      <w:color w:val="auto"/>
                      <w:kern w:val="0"/>
                      <w:sz w:val="20"/>
                      <w:szCs w:val="20"/>
                    </w:rPr>
                    <w:object>
                      <v:shape id="_x0000_i1030" o:spt="201" type="#_x0000_t201" style="height:13.5pt;width:16.5pt;" o:ole="t" filled="f" o:preferrelative="t" stroked="f" coordsize="21600,21600">
                        <v:path/>
                        <v:fill on="f" focussize="0,0"/>
                        <v:stroke on="f"/>
                        <v:imagedata r:id="rId10" o:title=""/>
                        <o:lock v:ext="edit" aspectratio="t"/>
                        <w10:wrap type="none"/>
                        <w10:anchorlock/>
                      </v:shape>
                      <w:control r:id="rId16" w:name="HTMLCheckbox8" w:shapeid="_x0000_i1030"/>
                    </w:object>
                  </w:r>
                  <w:r>
                    <w:rPr>
                      <w:rFonts w:hint="eastAsia" w:ascii="宋体" w:hAnsi="宋体" w:cs="宋体"/>
                      <w:bCs/>
                      <w:color w:val="auto"/>
                      <w:kern w:val="0"/>
                      <w:sz w:val="20"/>
                    </w:rPr>
                    <w:t>否</w:t>
                  </w:r>
                </w:p>
                <w:p w14:paraId="79E2AC81">
                  <w:pPr>
                    <w:rPr>
                      <w:rFonts w:hint="default" w:ascii="宋体" w:hAnsi="宋体" w:eastAsia="宋体" w:cs="宋体"/>
                      <w:bCs/>
                      <w:color w:val="auto"/>
                      <w:kern w:val="0"/>
                      <w:sz w:val="20"/>
                      <w:lang w:val="en-US" w:eastAsia="zh-CN"/>
                    </w:rPr>
                  </w:pPr>
                  <w:r>
                    <w:rPr>
                      <w:rFonts w:ascii="宋体" w:hAnsi="宋体" w:eastAsia="宋体" w:cs="宋体"/>
                      <w:bCs/>
                      <w:color w:val="auto"/>
                      <w:kern w:val="0"/>
                      <w:sz w:val="20"/>
                      <w:szCs w:val="20"/>
                    </w:rPr>
                    <w:object>
                      <v:shape id="_x0000_i1031" o:spt="201" type="#_x0000_t201" style="height:13.5pt;width:16.5pt;" o:ole="t" filled="f" o:preferrelative="t" stroked="f" coordsize="21600,21600">
                        <v:path/>
                        <v:fill on="f" focussize="0,0"/>
                        <v:stroke on="f"/>
                        <v:imagedata r:id="rId10" o:title=""/>
                        <o:lock v:ext="edit" aspectratio="t"/>
                        <w10:wrap type="none"/>
                        <w10:anchorlock/>
                      </v:shape>
                      <w:control r:id="rId17" w:name="HTMLCheckbox1" w:shapeid="_x0000_i1031"/>
                    </w:object>
                  </w:r>
                  <w:r>
                    <w:rPr>
                      <w:rFonts w:hint="eastAsia" w:ascii="宋体" w:hAnsi="宋体" w:eastAsia="宋体" w:cs="宋体"/>
                      <w:bCs/>
                      <w:color w:val="auto"/>
                      <w:kern w:val="0"/>
                      <w:sz w:val="20"/>
                      <w:szCs w:val="20"/>
                      <w:lang w:val="en-US" w:eastAsia="zh-CN"/>
                    </w:rPr>
                    <w:t>部分脱敏</w:t>
                  </w:r>
                </w:p>
              </w:tc>
              <w:tc>
                <w:tcPr>
                  <w:tcW w:w="4209" w:type="dxa"/>
                  <w:vMerge w:val="continue"/>
                  <w:noWrap w:val="0"/>
                  <w:vAlign w:val="center"/>
                </w:tcPr>
                <w:p w14:paraId="708508EC">
                  <w:pPr>
                    <w:rPr>
                      <w:rFonts w:hint="eastAsia" w:ascii="宋体" w:hAnsi="宋体" w:eastAsia="宋体" w:cs="宋体"/>
                      <w:b/>
                      <w:bCs/>
                      <w:color w:val="auto"/>
                      <w:kern w:val="0"/>
                      <w:sz w:val="20"/>
                      <w:szCs w:val="20"/>
                      <w:lang w:val="en-US" w:eastAsia="zh-CN"/>
                    </w:rPr>
                  </w:pPr>
                </w:p>
              </w:tc>
            </w:tr>
          </w:tbl>
          <w:p w14:paraId="73D832BD">
            <w:pPr>
              <w:pStyle w:val="11"/>
              <w:numPr>
                <w:ilvl w:val="0"/>
                <w:numId w:val="0"/>
              </w:numPr>
              <w:spacing w:after="0"/>
              <w:ind w:left="0" w:leftChars="0" w:firstLine="368" w:firstLineChars="205"/>
              <w:rPr>
                <w:rFonts w:hint="eastAsia"/>
                <w:sz w:val="18"/>
                <w:szCs w:val="18"/>
              </w:rPr>
            </w:pPr>
          </w:p>
        </w:tc>
      </w:tr>
      <w:tr w14:paraId="031FF1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2263" w:hRule="atLeast"/>
        </w:trPr>
        <w:tc>
          <w:tcPr>
            <w:tcW w:w="1439" w:type="dxa"/>
            <w:tcBorders>
              <w:top w:val="single" w:color="auto" w:sz="6" w:space="0"/>
            </w:tcBorders>
            <w:noWrap w:val="0"/>
            <w:vAlign w:val="center"/>
          </w:tcPr>
          <w:p w14:paraId="0BCA6EB3">
            <w:pPr>
              <w:pStyle w:val="11"/>
              <w:numPr>
                <w:ilvl w:val="0"/>
                <w:numId w:val="0"/>
              </w:numPr>
              <w:spacing w:after="0"/>
              <w:ind w:left="0" w:leftChars="0" w:firstLine="0" w:firstLineChars="0"/>
              <w:rPr>
                <w:rFonts w:hint="eastAsia"/>
                <w:b/>
                <w:sz w:val="20"/>
              </w:rPr>
            </w:pPr>
            <w:r>
              <w:rPr>
                <w:rFonts w:hint="eastAsia"/>
                <w:b/>
                <w:sz w:val="20"/>
              </w:rPr>
              <w:t>需求概述</w:t>
            </w:r>
          </w:p>
        </w:tc>
        <w:tc>
          <w:tcPr>
            <w:tcW w:w="8821" w:type="dxa"/>
            <w:gridSpan w:val="6"/>
            <w:tcBorders>
              <w:top w:val="single" w:color="auto" w:sz="6" w:space="0"/>
            </w:tcBorders>
            <w:noWrap w:val="0"/>
            <w:vAlign w:val="center"/>
          </w:tcPr>
          <w:p w14:paraId="3E59D9C9">
            <w:pPr>
              <w:pStyle w:val="11"/>
              <w:numPr>
                <w:ilvl w:val="0"/>
                <w:numId w:val="0"/>
              </w:numPr>
              <w:spacing w:after="0"/>
              <w:ind w:firstLine="368" w:firstLineChars="205"/>
              <w:rPr>
                <w:rFonts w:hint="default"/>
                <w:b w:val="0"/>
                <w:bCs w:val="0"/>
                <w:sz w:val="18"/>
                <w:szCs w:val="18"/>
                <w:lang w:val="en-US" w:eastAsia="zh-CN"/>
              </w:rPr>
            </w:pPr>
            <w:r>
              <w:rPr>
                <w:rFonts w:hint="eastAsia"/>
                <w:b w:val="0"/>
                <w:bCs w:val="0"/>
                <w:sz w:val="18"/>
                <w:szCs w:val="18"/>
                <w:lang w:val="en-US" w:eastAsia="zh-CN"/>
              </w:rPr>
              <w:t>支付中台根据手续费规则配置，并按周期及通道将支付机构收/付费用信息提交给综合前端，发起收付费流程处理。</w:t>
            </w:r>
          </w:p>
          <w:p w14:paraId="438F8F1E">
            <w:pPr>
              <w:spacing w:before="120"/>
              <w:ind w:right="23" w:rightChars="0"/>
              <w:rPr>
                <w:rFonts w:hint="eastAsia"/>
                <w:sz w:val="18"/>
                <w:szCs w:val="18"/>
              </w:rPr>
            </w:pPr>
          </w:p>
        </w:tc>
      </w:tr>
      <w:tr w14:paraId="6E894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2263" w:hRule="atLeast"/>
        </w:trPr>
        <w:tc>
          <w:tcPr>
            <w:tcW w:w="1439" w:type="dxa"/>
            <w:tcBorders>
              <w:top w:val="single" w:color="auto" w:sz="6" w:space="0"/>
            </w:tcBorders>
            <w:noWrap w:val="0"/>
            <w:vAlign w:val="center"/>
          </w:tcPr>
          <w:p w14:paraId="6065BA3A">
            <w:pPr>
              <w:pStyle w:val="11"/>
              <w:numPr>
                <w:ilvl w:val="0"/>
                <w:numId w:val="0"/>
              </w:numPr>
              <w:spacing w:after="0"/>
              <w:rPr>
                <w:rFonts w:hint="default" w:eastAsia="宋体"/>
                <w:b/>
                <w:sz w:val="20"/>
                <w:lang w:val="en-US" w:eastAsia="zh-CN"/>
              </w:rPr>
            </w:pPr>
            <w:r>
              <w:rPr>
                <w:rFonts w:hint="eastAsia"/>
                <w:b/>
                <w:sz w:val="20"/>
                <w:lang w:val="en-US" w:eastAsia="zh-CN"/>
              </w:rPr>
              <w:t>性能、时间要求</w:t>
            </w:r>
          </w:p>
        </w:tc>
        <w:tc>
          <w:tcPr>
            <w:tcW w:w="8821" w:type="dxa"/>
            <w:gridSpan w:val="6"/>
            <w:tcBorders>
              <w:top w:val="single" w:color="auto" w:sz="6" w:space="0"/>
            </w:tcBorders>
            <w:noWrap w:val="0"/>
            <w:vAlign w:val="center"/>
          </w:tcPr>
          <w:p w14:paraId="48B715CF">
            <w:pPr>
              <w:spacing w:before="120"/>
              <w:ind w:right="23"/>
              <w:rPr>
                <w:rFonts w:hint="default" w:ascii="Times New Roman" w:hAnsi="Times New Roman" w:eastAsia="宋体" w:cs="Times New Roman"/>
                <w:i/>
                <w:color w:val="00B0F0"/>
                <w:sz w:val="16"/>
                <w:szCs w:val="16"/>
                <w:lang w:val="en-US" w:eastAsia="zh-CN"/>
              </w:rPr>
            </w:pPr>
            <w:r>
              <w:rPr>
                <w:rFonts w:hint="eastAsia" w:ascii="Times New Roman" w:hAnsi="Times New Roman" w:eastAsia="宋体" w:cs="Times New Roman"/>
                <w:i/>
                <w:color w:val="00B0F0"/>
                <w:sz w:val="16"/>
                <w:szCs w:val="16"/>
                <w:lang w:val="en-US" w:eastAsia="zh-CN"/>
              </w:rPr>
              <w:t>无</w:t>
            </w:r>
          </w:p>
        </w:tc>
      </w:tr>
      <w:tr w14:paraId="25B6D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18" w:hRule="atLeast"/>
        </w:trPr>
        <w:tc>
          <w:tcPr>
            <w:tcW w:w="10260" w:type="dxa"/>
            <w:gridSpan w:val="7"/>
            <w:tcBorders>
              <w:top w:val="single" w:color="auto" w:sz="4" w:space="0"/>
              <w:bottom w:val="single" w:color="auto" w:sz="6" w:space="0"/>
            </w:tcBorders>
            <w:shd w:val="clear" w:color="auto" w:fill="E0E0E0"/>
            <w:noWrap w:val="0"/>
            <w:vAlign w:val="center"/>
          </w:tcPr>
          <w:p w14:paraId="2D52D0D6">
            <w:pPr>
              <w:spacing w:after="0"/>
              <w:jc w:val="center"/>
              <w:rPr>
                <w:rFonts w:hint="eastAsia" w:ascii="宋体" w:hAnsi="宋体"/>
                <w:b/>
                <w:sz w:val="21"/>
                <w:szCs w:val="21"/>
              </w:rPr>
            </w:pPr>
            <w:r>
              <w:rPr>
                <w:rFonts w:hint="eastAsia"/>
                <w:b/>
                <w:sz w:val="21"/>
                <w:szCs w:val="21"/>
              </w:rPr>
              <w:t>需求内容说明</w:t>
            </w:r>
          </w:p>
        </w:tc>
      </w:tr>
      <w:tr w14:paraId="1535B1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57" w:hRule="atLeast"/>
        </w:trPr>
        <w:tc>
          <w:tcPr>
            <w:tcW w:w="10260" w:type="dxa"/>
            <w:gridSpan w:val="7"/>
            <w:tcBorders>
              <w:top w:val="single" w:color="auto" w:sz="4" w:space="0"/>
              <w:bottom w:val="single" w:color="auto" w:sz="4" w:space="0"/>
            </w:tcBorders>
            <w:noWrap w:val="0"/>
            <w:vAlign w:val="top"/>
          </w:tcPr>
          <w:p w14:paraId="0DBE48F8">
            <w:pPr>
              <w:pStyle w:val="11"/>
              <w:numPr>
                <w:ilvl w:val="0"/>
                <w:numId w:val="0"/>
              </w:numPr>
              <w:tabs>
                <w:tab w:val="left" w:pos="3295"/>
                <w:tab w:val="left" w:pos="5860"/>
              </w:tabs>
              <w:spacing w:before="120" w:beforeLines="50" w:after="0"/>
              <w:rPr>
                <w:rFonts w:hint="eastAsia"/>
                <w:b/>
                <w:sz w:val="20"/>
              </w:rPr>
            </w:pPr>
            <w:r>
              <w:rPr>
                <w:rFonts w:hint="eastAsia"/>
                <w:b/>
                <w:sz w:val="20"/>
              </w:rPr>
              <w:t>需求功能要点描述：</w:t>
            </w:r>
          </w:p>
          <w:p w14:paraId="4A126114">
            <w:pPr>
              <w:spacing w:before="120"/>
              <w:ind w:left="972" w:right="23"/>
              <w:jc w:val="left"/>
              <w:rPr>
                <w:rFonts w:hint="eastAsia"/>
                <w:i/>
                <w:sz w:val="20"/>
              </w:rPr>
            </w:pPr>
            <w:r>
              <w:rPr>
                <w:rFonts w:hint="eastAsia"/>
                <w:i/>
                <w:sz w:val="20"/>
              </w:rPr>
              <w:t>（可另附材料）</w:t>
            </w:r>
          </w:p>
          <w:p w14:paraId="5DE65292">
            <w:pPr>
              <w:pStyle w:val="11"/>
              <w:numPr>
                <w:ilvl w:val="0"/>
                <w:numId w:val="0"/>
              </w:numPr>
              <w:spacing w:after="0"/>
              <w:jc w:val="left"/>
              <w:rPr>
                <w:i/>
                <w:color w:val="00B0F0"/>
                <w:sz w:val="16"/>
                <w:szCs w:val="16"/>
              </w:rPr>
            </w:pPr>
            <w:r>
              <w:rPr>
                <w:rFonts w:hint="eastAsia"/>
                <w:i/>
                <w:color w:val="00B0F0"/>
                <w:sz w:val="16"/>
                <w:szCs w:val="16"/>
              </w:rPr>
              <w:t>如</w:t>
            </w:r>
            <w:r>
              <w:rPr>
                <w:i/>
                <w:color w:val="00B0F0"/>
                <w:sz w:val="16"/>
                <w:szCs w:val="16"/>
              </w:rPr>
              <w:t>影响到流程变</w:t>
            </w:r>
            <w:r>
              <w:rPr>
                <w:rFonts w:hint="eastAsia"/>
                <w:i/>
                <w:color w:val="00B0F0"/>
                <w:sz w:val="16"/>
                <w:szCs w:val="16"/>
              </w:rPr>
              <w:t>动</w:t>
            </w:r>
            <w:r>
              <w:rPr>
                <w:i/>
                <w:color w:val="00B0F0"/>
                <w:sz w:val="16"/>
                <w:szCs w:val="16"/>
              </w:rPr>
              <w:t>，需要</w:t>
            </w:r>
            <w:r>
              <w:rPr>
                <w:rFonts w:hint="eastAsia"/>
                <w:i/>
                <w:color w:val="00B0F0"/>
                <w:sz w:val="16"/>
                <w:szCs w:val="16"/>
              </w:rPr>
              <w:t>附</w:t>
            </w:r>
            <w:r>
              <w:rPr>
                <w:i/>
                <w:color w:val="00B0F0"/>
                <w:sz w:val="16"/>
                <w:szCs w:val="16"/>
              </w:rPr>
              <w:t>流程图</w:t>
            </w:r>
            <w:r>
              <w:rPr>
                <w:rFonts w:hint="eastAsia"/>
                <w:i/>
                <w:color w:val="00B0F0"/>
                <w:sz w:val="16"/>
                <w:szCs w:val="16"/>
              </w:rPr>
              <w:t>；</w:t>
            </w:r>
            <w:r>
              <w:rPr>
                <w:i/>
                <w:color w:val="00B0F0"/>
                <w:sz w:val="16"/>
                <w:szCs w:val="16"/>
              </w:rPr>
              <w:t>如</w:t>
            </w:r>
            <w:r>
              <w:rPr>
                <w:rFonts w:hint="eastAsia"/>
                <w:i/>
                <w:color w:val="00B0F0"/>
                <w:sz w:val="16"/>
                <w:szCs w:val="16"/>
              </w:rPr>
              <w:t>因制度</w:t>
            </w:r>
            <w:r>
              <w:rPr>
                <w:i/>
                <w:color w:val="00B0F0"/>
                <w:sz w:val="16"/>
                <w:szCs w:val="16"/>
              </w:rPr>
              <w:t>变更</w:t>
            </w:r>
            <w:r>
              <w:rPr>
                <w:rFonts w:hint="eastAsia"/>
                <w:i/>
                <w:color w:val="00B0F0"/>
                <w:sz w:val="16"/>
                <w:szCs w:val="16"/>
              </w:rPr>
              <w:t>提出</w:t>
            </w:r>
            <w:r>
              <w:rPr>
                <w:i/>
                <w:color w:val="00B0F0"/>
                <w:sz w:val="16"/>
                <w:szCs w:val="16"/>
              </w:rPr>
              <w:t>需求变更，需要附相关</w:t>
            </w:r>
            <w:r>
              <w:rPr>
                <w:rFonts w:hint="eastAsia"/>
                <w:i/>
                <w:color w:val="00B0F0"/>
                <w:sz w:val="16"/>
                <w:szCs w:val="16"/>
              </w:rPr>
              <w:t>制度为</w:t>
            </w:r>
            <w:r>
              <w:rPr>
                <w:i/>
                <w:color w:val="00B0F0"/>
                <w:sz w:val="16"/>
                <w:szCs w:val="16"/>
              </w:rPr>
              <w:t>附件证明材料；</w:t>
            </w:r>
          </w:p>
          <w:p w14:paraId="29D65445">
            <w:pPr>
              <w:pStyle w:val="2"/>
              <w:pageBreakBefore/>
              <w:numPr>
                <w:ilvl w:val="0"/>
                <w:numId w:val="4"/>
              </w:numPr>
              <w:autoSpaceDE w:val="0"/>
              <w:autoSpaceDN w:val="0"/>
              <w:adjustRightInd w:val="0"/>
              <w:spacing w:before="480" w:after="240" w:line="300" w:lineRule="exact"/>
              <w:jc w:val="left"/>
            </w:pPr>
            <w:bookmarkStart w:id="0" w:name="_Toc7437"/>
            <w:r>
              <w:rPr>
                <w:rFonts w:hint="eastAsia"/>
              </w:rPr>
              <w:t>系统现状分析</w:t>
            </w:r>
            <w:bookmarkEnd w:id="0"/>
          </w:p>
          <w:p w14:paraId="54A06D1C">
            <w:pPr>
              <w:pStyle w:val="3"/>
              <w:numPr>
                <w:ilvl w:val="1"/>
                <w:numId w:val="5"/>
              </w:numPr>
              <w:autoSpaceDE w:val="0"/>
              <w:autoSpaceDN w:val="0"/>
              <w:adjustRightInd w:val="0"/>
              <w:spacing w:before="120" w:after="120" w:line="300" w:lineRule="exact"/>
              <w:jc w:val="left"/>
            </w:pPr>
            <w:bookmarkStart w:id="1" w:name="_Toc2272"/>
            <w:bookmarkStart w:id="2" w:name="_Toc421975934"/>
            <w:r>
              <w:rPr>
                <w:rFonts w:hint="eastAsia"/>
              </w:rPr>
              <w:t>系统功能</w:t>
            </w:r>
            <w:bookmarkEnd w:id="1"/>
          </w:p>
          <w:bookmarkEnd w:id="2"/>
          <w:p w14:paraId="52EDABD3">
            <w:pPr>
              <w:ind w:firstLine="420" w:firstLineChars="0"/>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支付中台对接各三方支付公司的二/四/五要素认证、协议支付API/网关签约、协议支付和行内核心支付等通道，为行内存/贷款业务系统封装标准化的协议充值/代收、协议支付签约、认证和代付接口。</w:t>
            </w:r>
          </w:p>
          <w:p w14:paraId="62FD5D39">
            <w:pPr>
              <w:rPr>
                <w:rFonts w:hint="eastAsia" w:ascii="华文仿宋" w:hAnsi="华文仿宋" w:eastAsia="华文仿宋" w:cs="华文仿宋"/>
                <w:b w:val="0"/>
                <w:bCs w:val="0"/>
                <w:sz w:val="32"/>
                <w:szCs w:val="32"/>
                <w:lang w:val="en-US" w:eastAsia="zh-CN"/>
              </w:rPr>
            </w:pPr>
          </w:p>
          <w:p w14:paraId="1244F15E">
            <w:pPr>
              <w:pStyle w:val="37"/>
              <w:spacing w:line="300" w:lineRule="exact"/>
              <w:ind w:firstLine="480"/>
              <w:rPr>
                <w:rFonts w:hint="eastAsia" w:ascii="Arial Unicode MS" w:hAnsi="Arial Unicode MS"/>
                <w:sz w:val="24"/>
              </w:rPr>
            </w:pPr>
          </w:p>
          <w:p w14:paraId="57941915">
            <w:pPr>
              <w:pStyle w:val="3"/>
              <w:numPr>
                <w:ilvl w:val="1"/>
                <w:numId w:val="5"/>
              </w:numPr>
              <w:autoSpaceDE w:val="0"/>
              <w:autoSpaceDN w:val="0"/>
              <w:adjustRightInd w:val="0"/>
              <w:spacing w:before="120" w:after="120" w:line="300" w:lineRule="exact"/>
              <w:jc w:val="left"/>
            </w:pPr>
            <w:bookmarkStart w:id="3" w:name="_Toc3666"/>
            <w:r>
              <w:rPr>
                <w:rFonts w:hint="eastAsia"/>
              </w:rPr>
              <w:t>系统架构说明</w:t>
            </w:r>
            <w:bookmarkEnd w:id="3"/>
          </w:p>
          <w:p w14:paraId="59BAD074"/>
          <w:p w14:paraId="1D34C681">
            <w:pPr>
              <w:pStyle w:val="3"/>
              <w:numPr>
                <w:ilvl w:val="1"/>
                <w:numId w:val="5"/>
              </w:numPr>
              <w:autoSpaceDE w:val="0"/>
              <w:autoSpaceDN w:val="0"/>
              <w:adjustRightInd w:val="0"/>
              <w:spacing w:before="120" w:after="120" w:line="300" w:lineRule="exact"/>
              <w:jc w:val="left"/>
            </w:pPr>
            <w:bookmarkStart w:id="4" w:name="_Toc25962"/>
            <w:r>
              <w:rPr>
                <w:rFonts w:hint="eastAsia"/>
              </w:rPr>
              <w:t>系统对外接口</w:t>
            </w:r>
            <w:bookmarkEnd w:id="4"/>
          </w:p>
          <w:p w14:paraId="79793252"/>
          <w:p w14:paraId="4CAB9BE6">
            <w:pPr>
              <w:pStyle w:val="3"/>
              <w:numPr>
                <w:ilvl w:val="1"/>
                <w:numId w:val="5"/>
              </w:numPr>
              <w:autoSpaceDE w:val="0"/>
              <w:autoSpaceDN w:val="0"/>
              <w:adjustRightInd w:val="0"/>
              <w:spacing w:before="120" w:after="120" w:line="300" w:lineRule="exact"/>
              <w:jc w:val="left"/>
            </w:pPr>
            <w:bookmarkStart w:id="5" w:name="_Toc9027"/>
            <w:r>
              <w:rPr>
                <w:rFonts w:hint="eastAsia"/>
              </w:rPr>
              <w:t>系统主要流程</w:t>
            </w:r>
            <w:bookmarkEnd w:id="5"/>
          </w:p>
          <w:p w14:paraId="5CE0E868">
            <w:pPr>
              <w:numPr>
                <w:ilvl w:val="0"/>
                <w:numId w:val="0"/>
              </w:numPr>
              <w:ind w:firstLine="640" w:firstLineChars="200"/>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支付中台对接下游各通道产生的手续费，在一定周期内，通过支付中台统计计费信息并生产开票数据。开票信息包括：认证类付费信息、代收类付费信息、服务费收/付费类信息。</w:t>
            </w:r>
          </w:p>
          <w:p w14:paraId="54E2C3E8">
            <w:pPr>
              <w:numPr>
                <w:ilvl w:val="0"/>
                <w:numId w:val="0"/>
              </w:numPr>
              <w:ind w:firstLine="640" w:firstLineChars="200"/>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支付中台涉及收付费流程的业务模块包括：支付中台认证业务的手续费、代收业务的手续费、云闪付/网联各业务的手续费及服务费、银企系统相关收付费。</w:t>
            </w:r>
          </w:p>
          <w:p w14:paraId="0757E263">
            <w:r>
              <w:rPr>
                <w:rFonts w:hint="eastAsia"/>
                <w:lang w:val="en-US" w:eastAsia="zh-CN"/>
              </w:rPr>
              <w:t xml:space="preserve">           </w:t>
            </w:r>
            <w:r>
              <w:drawing>
                <wp:inline distT="0" distB="0" distL="114300" distR="114300">
                  <wp:extent cx="3240405" cy="1479550"/>
                  <wp:effectExtent l="0" t="0" r="1079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3240405" cy="1479550"/>
                          </a:xfrm>
                          <a:prstGeom prst="rect">
                            <a:avLst/>
                          </a:prstGeom>
                          <a:noFill/>
                          <a:ln>
                            <a:noFill/>
                          </a:ln>
                        </pic:spPr>
                      </pic:pic>
                    </a:graphicData>
                  </a:graphic>
                </wp:inline>
              </w:drawing>
            </w:r>
          </w:p>
          <w:p w14:paraId="28ED8F36">
            <w:pPr>
              <w:pStyle w:val="37"/>
              <w:spacing w:line="300" w:lineRule="exact"/>
              <w:ind w:left="0" w:leftChars="0" w:firstLine="0" w:firstLineChars="0"/>
              <w:rPr>
                <w:rFonts w:hint="eastAsia" w:ascii="宋体" w:hAnsi="宋体" w:eastAsia="宋体" w:cs="宋体"/>
                <w:color w:val="000000"/>
                <w:sz w:val="24"/>
                <w:szCs w:val="24"/>
                <w:highlight w:val="none"/>
                <w:lang w:val="en-US" w:eastAsia="zh-CN"/>
              </w:rPr>
            </w:pPr>
          </w:p>
          <w:p w14:paraId="69D3E753">
            <w:pPr>
              <w:pStyle w:val="3"/>
              <w:numPr>
                <w:ilvl w:val="1"/>
                <w:numId w:val="5"/>
              </w:numPr>
              <w:autoSpaceDE w:val="0"/>
              <w:autoSpaceDN w:val="0"/>
              <w:adjustRightInd w:val="0"/>
              <w:spacing w:before="120" w:after="120" w:line="300" w:lineRule="exact"/>
              <w:jc w:val="left"/>
            </w:pPr>
            <w:bookmarkStart w:id="6" w:name="_Toc29701"/>
            <w:r>
              <w:rPr>
                <w:rFonts w:hint="eastAsia"/>
              </w:rPr>
              <w:t>其他</w:t>
            </w:r>
            <w:bookmarkEnd w:id="6"/>
          </w:p>
          <w:p w14:paraId="126B3EE8">
            <w:pPr>
              <w:pStyle w:val="2"/>
              <w:pageBreakBefore/>
              <w:numPr>
                <w:ilvl w:val="0"/>
                <w:numId w:val="4"/>
              </w:numPr>
              <w:autoSpaceDE w:val="0"/>
              <w:autoSpaceDN w:val="0"/>
              <w:adjustRightInd w:val="0"/>
              <w:spacing w:before="480" w:after="240" w:line="300" w:lineRule="exact"/>
              <w:jc w:val="left"/>
            </w:pPr>
            <w:bookmarkStart w:id="7" w:name="_Toc10186"/>
            <w:r>
              <w:rPr>
                <w:rFonts w:hint="eastAsia"/>
              </w:rPr>
              <w:t>改造需求及影响分析</w:t>
            </w:r>
            <w:bookmarkEnd w:id="7"/>
          </w:p>
          <w:p w14:paraId="4B431E8D">
            <w:pPr>
              <w:pStyle w:val="3"/>
              <w:numPr>
                <w:ilvl w:val="1"/>
                <w:numId w:val="5"/>
              </w:numPr>
              <w:autoSpaceDE w:val="0"/>
              <w:autoSpaceDN w:val="0"/>
              <w:adjustRightInd w:val="0"/>
              <w:spacing w:before="120" w:after="120" w:line="300" w:lineRule="exact"/>
              <w:jc w:val="left"/>
            </w:pPr>
            <w:bookmarkStart w:id="8" w:name="_Toc2957"/>
            <w:r>
              <w:rPr>
                <w:rFonts w:hint="eastAsia"/>
              </w:rPr>
              <w:t>核心和上游系统交易和数据接口变化</w:t>
            </w:r>
            <w:bookmarkEnd w:id="8"/>
          </w:p>
          <w:p w14:paraId="3F2B9F17">
            <w:pPr>
              <w:pStyle w:val="37"/>
              <w:spacing w:line="300" w:lineRule="exact"/>
              <w:ind w:firstLine="480"/>
              <w:rPr>
                <w:rFonts w:hint="eastAsia" w:ascii="微软雅黑 Light" w:hAnsi="微软雅黑 Light" w:eastAsia="微软雅黑 Light" w:cs="微软雅黑 Light"/>
                <w:kern w:val="0"/>
                <w:sz w:val="22"/>
                <w:lang w:val="en-US" w:eastAsia="zh-CN" w:bidi="ar-SA"/>
              </w:rPr>
            </w:pPr>
            <w:r>
              <w:rPr>
                <w:rFonts w:hint="eastAsia" w:ascii="微软雅黑 Light" w:hAnsi="微软雅黑 Light" w:eastAsia="微软雅黑 Light" w:cs="微软雅黑 Light"/>
                <w:kern w:val="0"/>
                <w:sz w:val="22"/>
                <w:lang w:val="en-US" w:eastAsia="zh-CN" w:bidi="ar-SA"/>
              </w:rPr>
              <w:t>综合前端系统增加接口接收收付费信息，涉及支付中台系统中的给支付机构的手续费费用信息，需要对接该接口。</w:t>
            </w:r>
          </w:p>
          <w:p w14:paraId="12805D81">
            <w:pPr>
              <w:pStyle w:val="3"/>
              <w:numPr>
                <w:ilvl w:val="1"/>
                <w:numId w:val="5"/>
              </w:numPr>
              <w:autoSpaceDE w:val="0"/>
              <w:autoSpaceDN w:val="0"/>
              <w:adjustRightInd w:val="0"/>
              <w:spacing w:before="120" w:after="120" w:line="300" w:lineRule="exact"/>
              <w:jc w:val="left"/>
            </w:pPr>
            <w:bookmarkStart w:id="9" w:name="_Toc20355"/>
            <w:r>
              <w:rPr>
                <w:rFonts w:hint="eastAsia"/>
              </w:rPr>
              <w:t>核心和上游系统功能变化</w:t>
            </w:r>
            <w:bookmarkEnd w:id="9"/>
          </w:p>
          <w:p w14:paraId="3407597C">
            <w:pPr>
              <w:pStyle w:val="37"/>
              <w:spacing w:line="300" w:lineRule="exact"/>
              <w:ind w:firstLine="480"/>
              <w:rPr>
                <w:rFonts w:hint="default" w:ascii="微软雅黑 Light" w:hAnsi="微软雅黑 Light" w:eastAsia="微软雅黑 Light" w:cs="微软雅黑 Light"/>
                <w:kern w:val="0"/>
                <w:sz w:val="22"/>
                <w:lang w:val="en-US" w:eastAsia="zh-CN" w:bidi="ar-SA"/>
              </w:rPr>
            </w:pPr>
            <w:r>
              <w:rPr>
                <w:rFonts w:hint="eastAsia" w:ascii="微软雅黑 Light" w:hAnsi="微软雅黑 Light" w:eastAsia="微软雅黑 Light" w:cs="微软雅黑 Light"/>
                <w:kern w:val="0"/>
                <w:sz w:val="22"/>
                <w:lang w:val="en-US" w:eastAsia="zh-CN" w:bidi="ar-SA"/>
              </w:rPr>
              <w:t>支付中台系统需要新增对接综合前端系统的收付费接口。</w:t>
            </w:r>
          </w:p>
          <w:p w14:paraId="44E3929A">
            <w:pPr>
              <w:pStyle w:val="3"/>
              <w:numPr>
                <w:ilvl w:val="1"/>
                <w:numId w:val="5"/>
              </w:numPr>
              <w:autoSpaceDE w:val="0"/>
              <w:autoSpaceDN w:val="0"/>
              <w:adjustRightInd w:val="0"/>
              <w:spacing w:before="120" w:after="120" w:line="300" w:lineRule="exact"/>
              <w:jc w:val="left"/>
            </w:pPr>
            <w:bookmarkStart w:id="10" w:name="_Toc12436"/>
            <w:r>
              <w:rPr>
                <w:rFonts w:hint="eastAsia"/>
              </w:rPr>
              <w:t>本系统业务需求和技术变更的影响分析</w:t>
            </w:r>
            <w:bookmarkEnd w:id="10"/>
          </w:p>
          <w:p w14:paraId="3FE31401">
            <w:pPr>
              <w:pStyle w:val="37"/>
              <w:spacing w:line="300" w:lineRule="exact"/>
              <w:ind w:firstLine="480"/>
              <w:rPr>
                <w:rFonts w:hint="eastAsia" w:ascii="微软雅黑 Light" w:hAnsi="微软雅黑 Light" w:eastAsia="微软雅黑 Light" w:cs="微软雅黑 Light"/>
                <w:kern w:val="0"/>
                <w:sz w:val="22"/>
                <w:lang w:val="en-US" w:eastAsia="zh-CN" w:bidi="ar-SA"/>
              </w:rPr>
            </w:pPr>
            <w:r>
              <w:rPr>
                <w:rFonts w:hint="eastAsia" w:ascii="微软雅黑 Light" w:hAnsi="微软雅黑 Light" w:eastAsia="微软雅黑 Light" w:cs="微软雅黑 Light"/>
                <w:kern w:val="0"/>
                <w:sz w:val="22"/>
                <w:lang w:val="en-US" w:eastAsia="zh-CN" w:bidi="ar-SA"/>
              </w:rPr>
              <w:t>支付中台系统支持费用规则配置及根据配置规则系统生成手续费统计报表，同时，支持运营提交手续费信息给综合前端系统。</w:t>
            </w:r>
          </w:p>
          <w:p w14:paraId="1C47CC48">
            <w:pPr>
              <w:pStyle w:val="3"/>
              <w:numPr>
                <w:ilvl w:val="1"/>
                <w:numId w:val="5"/>
              </w:numPr>
              <w:autoSpaceDE w:val="0"/>
              <w:autoSpaceDN w:val="0"/>
              <w:adjustRightInd w:val="0"/>
              <w:spacing w:before="120" w:after="120" w:line="300" w:lineRule="exact"/>
              <w:jc w:val="left"/>
            </w:pPr>
            <w:bookmarkStart w:id="11" w:name="_Toc22133"/>
            <w:r>
              <w:rPr>
                <w:rFonts w:hint="eastAsia"/>
              </w:rPr>
              <w:t>对其他系统的影响分析</w:t>
            </w:r>
            <w:bookmarkEnd w:id="11"/>
          </w:p>
          <w:p w14:paraId="14A3EF4B">
            <w:pPr>
              <w:pStyle w:val="37"/>
              <w:spacing w:line="300" w:lineRule="exact"/>
              <w:ind w:firstLine="480"/>
              <w:rPr>
                <w:rFonts w:hint="default" w:ascii="微软雅黑 Light" w:hAnsi="微软雅黑 Light" w:eastAsia="微软雅黑 Light" w:cs="微软雅黑 Light"/>
                <w:sz w:val="24"/>
                <w:lang w:val="en-US" w:eastAsia="zh-CN"/>
              </w:rPr>
            </w:pPr>
            <w:r>
              <w:rPr>
                <w:rFonts w:hint="eastAsia" w:ascii="微软雅黑 Light" w:hAnsi="微软雅黑 Light" w:eastAsia="微软雅黑 Light" w:cs="微软雅黑 Light"/>
                <w:sz w:val="24"/>
                <w:lang w:val="en-US" w:eastAsia="zh-CN"/>
              </w:rPr>
              <w:t>暂无</w:t>
            </w:r>
          </w:p>
          <w:p w14:paraId="1E386C95">
            <w:pPr>
              <w:pStyle w:val="3"/>
              <w:numPr>
                <w:ilvl w:val="1"/>
                <w:numId w:val="5"/>
              </w:numPr>
              <w:autoSpaceDE w:val="0"/>
              <w:autoSpaceDN w:val="0"/>
              <w:adjustRightInd w:val="0"/>
              <w:spacing w:before="120" w:after="120" w:line="300" w:lineRule="exact"/>
              <w:jc w:val="left"/>
            </w:pPr>
            <w:bookmarkStart w:id="12" w:name="_Toc22976"/>
            <w:r>
              <w:rPr>
                <w:rFonts w:hint="eastAsia"/>
              </w:rPr>
              <w:t>其他影响</w:t>
            </w:r>
            <w:bookmarkEnd w:id="12"/>
          </w:p>
          <w:p w14:paraId="12C3A8D9">
            <w:pPr>
              <w:pStyle w:val="37"/>
              <w:spacing w:line="300" w:lineRule="exact"/>
              <w:ind w:firstLine="480"/>
              <w:rPr>
                <w:rFonts w:hint="eastAsia" w:ascii="Arial Unicode MS" w:hAnsi="Arial Unicode MS"/>
                <w:sz w:val="24"/>
              </w:rPr>
            </w:pPr>
            <w:r>
              <w:rPr>
                <w:rFonts w:hint="eastAsia" w:ascii="微软雅黑 Light" w:hAnsi="微软雅黑 Light" w:eastAsia="微软雅黑 Light" w:cs="微软雅黑 Light"/>
                <w:sz w:val="24"/>
                <w:lang w:val="en-US" w:eastAsia="zh-CN"/>
              </w:rPr>
              <w:t>暂无</w:t>
            </w:r>
          </w:p>
          <w:p w14:paraId="150AE715">
            <w:pPr>
              <w:pStyle w:val="2"/>
              <w:pageBreakBefore/>
              <w:numPr>
                <w:ilvl w:val="0"/>
                <w:numId w:val="4"/>
              </w:numPr>
              <w:autoSpaceDE w:val="0"/>
              <w:autoSpaceDN w:val="0"/>
              <w:adjustRightInd w:val="0"/>
              <w:spacing w:before="480" w:after="240" w:line="300" w:lineRule="exact"/>
              <w:jc w:val="left"/>
            </w:pPr>
            <w:bookmarkStart w:id="13" w:name="_Toc16520"/>
            <w:r>
              <w:rPr>
                <w:rFonts w:hint="eastAsia"/>
              </w:rPr>
              <w:t>整体改造方案</w:t>
            </w:r>
            <w:bookmarkEnd w:id="13"/>
          </w:p>
          <w:p w14:paraId="43A11E43">
            <w:pPr>
              <w:pStyle w:val="3"/>
              <w:numPr>
                <w:ilvl w:val="1"/>
                <w:numId w:val="5"/>
              </w:numPr>
              <w:autoSpaceDE w:val="0"/>
              <w:autoSpaceDN w:val="0"/>
              <w:adjustRightInd w:val="0"/>
              <w:spacing w:before="120" w:after="120" w:line="300" w:lineRule="exact"/>
              <w:jc w:val="left"/>
            </w:pPr>
            <w:bookmarkStart w:id="14" w:name="_Toc3046"/>
            <w:r>
              <w:rPr>
                <w:rFonts w:hint="eastAsia"/>
              </w:rPr>
              <w:t>改造范围</w:t>
            </w:r>
            <w:bookmarkEnd w:id="14"/>
          </w:p>
          <w:p w14:paraId="0EFC4ABB">
            <w:pPr>
              <w:pStyle w:val="37"/>
              <w:spacing w:line="300" w:lineRule="exact"/>
              <w:ind w:firstLine="480"/>
              <w:rPr>
                <w:rFonts w:hint="default" w:ascii="微软雅黑 Light" w:hAnsi="微软雅黑 Light" w:eastAsia="微软雅黑 Light" w:cs="微软雅黑 Light"/>
                <w:kern w:val="0"/>
                <w:sz w:val="22"/>
                <w:lang w:val="en-US" w:eastAsia="zh-CN" w:bidi="ar-SA"/>
              </w:rPr>
            </w:pPr>
            <w:r>
              <w:rPr>
                <w:rFonts w:hint="eastAsia" w:ascii="微软雅黑 Light" w:hAnsi="微软雅黑 Light" w:eastAsia="微软雅黑 Light" w:cs="微软雅黑 Light"/>
                <w:kern w:val="0"/>
                <w:sz w:val="22"/>
                <w:lang w:val="en-US" w:eastAsia="zh-CN" w:bidi="ar-SA"/>
              </w:rPr>
              <w:t>支付中台手续费统计报表、其他费用报表模块需要配合改造。</w:t>
            </w:r>
          </w:p>
          <w:p w14:paraId="1BDA61D5">
            <w:pPr>
              <w:pStyle w:val="3"/>
              <w:numPr>
                <w:ilvl w:val="1"/>
                <w:numId w:val="5"/>
              </w:numPr>
              <w:autoSpaceDE w:val="0"/>
              <w:autoSpaceDN w:val="0"/>
              <w:adjustRightInd w:val="0"/>
              <w:spacing w:before="120" w:after="120" w:line="300" w:lineRule="exact"/>
              <w:jc w:val="left"/>
            </w:pPr>
            <w:bookmarkStart w:id="15" w:name="_Toc30107"/>
            <w:r>
              <w:rPr>
                <w:rFonts w:hint="eastAsia"/>
              </w:rPr>
              <w:t>改造方案内容</w:t>
            </w:r>
            <w:bookmarkEnd w:id="15"/>
          </w:p>
          <w:p w14:paraId="645A635F">
            <w:pPr>
              <w:numPr>
                <w:ilvl w:val="0"/>
                <w:numId w:val="0"/>
              </w:numPr>
              <w:ind w:firstLine="640" w:firstLineChars="200"/>
              <w:rPr>
                <w:rFonts w:hint="eastAsia"/>
                <w:lang w:val="en-US" w:eastAsia="zh-CN"/>
              </w:rPr>
            </w:pPr>
            <w:r>
              <w:rPr>
                <w:rFonts w:hint="eastAsia" w:ascii="华文仿宋" w:hAnsi="华文仿宋" w:eastAsia="华文仿宋" w:cs="华文仿宋"/>
                <w:b w:val="0"/>
                <w:bCs w:val="0"/>
                <w:sz w:val="32"/>
                <w:szCs w:val="32"/>
                <w:lang w:val="en-US" w:eastAsia="zh-CN"/>
              </w:rPr>
              <w:t>支付中台根据付费规则自动生成当期应收/付的平台费用，运营通过-</w:t>
            </w:r>
            <w:r>
              <w:rPr>
                <w:rFonts w:hint="eastAsia" w:ascii="华文仿宋" w:hAnsi="华文仿宋" w:eastAsia="华文仿宋" w:cs="华文仿宋"/>
                <w:b/>
                <w:bCs/>
                <w:sz w:val="32"/>
                <w:szCs w:val="32"/>
                <w:lang w:val="en-US" w:eastAsia="zh-CN"/>
              </w:rPr>
              <w:t>手续费统计，</w:t>
            </w:r>
            <w:r>
              <w:rPr>
                <w:rFonts w:hint="eastAsia" w:ascii="华文仿宋" w:hAnsi="华文仿宋" w:eastAsia="华文仿宋" w:cs="华文仿宋"/>
                <w:b w:val="0"/>
                <w:bCs w:val="0"/>
                <w:sz w:val="32"/>
                <w:szCs w:val="32"/>
                <w:lang w:val="en-US" w:eastAsia="zh-CN"/>
              </w:rPr>
              <w:t>按周期按通道来计算各类付费信息。开发信息如下：</w:t>
            </w:r>
          </w:p>
          <w:p w14:paraId="74F53497">
            <w:pPr>
              <w:numPr>
                <w:ilvl w:val="0"/>
                <w:numId w:val="6"/>
              </w:numPr>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各通道的开票规则维护（支持新增/修改）</w:t>
            </w:r>
          </w:p>
          <w:tbl>
            <w:tblPr>
              <w:tblStyle w:val="24"/>
              <w:tblpPr w:leftFromText="180" w:rightFromText="180" w:vertAnchor="text" w:horzAnchor="page" w:tblpX="832" w:tblpY="275"/>
              <w:tblOverlap w:val="never"/>
              <w:tblW w:w="8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843"/>
              <w:gridCol w:w="843"/>
              <w:gridCol w:w="843"/>
              <w:gridCol w:w="843"/>
              <w:gridCol w:w="843"/>
              <w:gridCol w:w="843"/>
              <w:gridCol w:w="843"/>
              <w:gridCol w:w="843"/>
              <w:gridCol w:w="843"/>
            </w:tblGrid>
            <w:tr w14:paraId="68747F35">
              <w:tc>
                <w:tcPr>
                  <w:tcW w:w="843" w:type="dxa"/>
                  <w:noWrap w:val="0"/>
                  <w:vAlign w:val="top"/>
                </w:tcPr>
                <w:p w14:paraId="11AFCFF8">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开票编号</w:t>
                  </w:r>
                </w:p>
              </w:tc>
              <w:tc>
                <w:tcPr>
                  <w:tcW w:w="843" w:type="dxa"/>
                  <w:noWrap w:val="0"/>
                  <w:vAlign w:val="top"/>
                </w:tcPr>
                <w:p w14:paraId="122F9C06">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平台名称</w:t>
                  </w:r>
                </w:p>
              </w:tc>
              <w:tc>
                <w:tcPr>
                  <w:tcW w:w="843" w:type="dxa"/>
                  <w:noWrap w:val="0"/>
                  <w:vAlign w:val="top"/>
                </w:tcPr>
                <w:p w14:paraId="06F9B810">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费用类型</w:t>
                  </w:r>
                </w:p>
              </w:tc>
              <w:tc>
                <w:tcPr>
                  <w:tcW w:w="843" w:type="dxa"/>
                  <w:noWrap w:val="0"/>
                  <w:vAlign w:val="top"/>
                </w:tcPr>
                <w:p w14:paraId="39BAB0CB">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vertAlign w:val="baseline"/>
                      <w:lang w:val="en-US" w:eastAsia="zh-CN" w:bidi="ar-SA"/>
                    </w:rPr>
                  </w:pPr>
                  <w:r>
                    <w:rPr>
                      <w:rFonts w:hint="eastAsia" w:ascii="仿宋" w:hAnsi="仿宋" w:eastAsia="仿宋" w:cs="仿宋"/>
                      <w:b/>
                      <w:bCs/>
                      <w:color w:val="auto"/>
                      <w:sz w:val="16"/>
                      <w:szCs w:val="16"/>
                      <w:lang w:val="en-US" w:eastAsia="zh-CN" w:bidi="ar-SA"/>
                    </w:rPr>
                    <w:t>通道名称</w:t>
                  </w:r>
                </w:p>
              </w:tc>
              <w:tc>
                <w:tcPr>
                  <w:tcW w:w="843" w:type="dxa"/>
                  <w:noWrap w:val="0"/>
                  <w:vAlign w:val="top"/>
                </w:tcPr>
                <w:p w14:paraId="7DF45C4B">
                  <w:pPr>
                    <w:pStyle w:val="11"/>
                    <w:numPr>
                      <w:ilvl w:val="0"/>
                      <w:numId w:val="0"/>
                    </w:numPr>
                    <w:tabs>
                      <w:tab w:val="left" w:pos="3295"/>
                      <w:tab w:val="left" w:pos="5860"/>
                    </w:tabs>
                    <w:spacing w:before="120" w:beforeLines="50" w:after="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税率</w:t>
                  </w:r>
                </w:p>
                <w:p w14:paraId="04F4CC4C">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p>
              </w:tc>
              <w:tc>
                <w:tcPr>
                  <w:tcW w:w="843" w:type="dxa"/>
                  <w:noWrap w:val="0"/>
                  <w:vAlign w:val="top"/>
                </w:tcPr>
                <w:p w14:paraId="7F996682">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付款账号</w:t>
                  </w:r>
                </w:p>
              </w:tc>
              <w:tc>
                <w:tcPr>
                  <w:tcW w:w="843" w:type="dxa"/>
                  <w:noWrap w:val="0"/>
                  <w:vAlign w:val="top"/>
                </w:tcPr>
                <w:p w14:paraId="04A453F1">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付费银行</w:t>
                  </w:r>
                </w:p>
              </w:tc>
              <w:tc>
                <w:tcPr>
                  <w:tcW w:w="843" w:type="dxa"/>
                  <w:noWrap w:val="0"/>
                  <w:vAlign w:val="top"/>
                </w:tcPr>
                <w:p w14:paraId="57E5625E">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创建时间</w:t>
                  </w:r>
                </w:p>
              </w:tc>
              <w:tc>
                <w:tcPr>
                  <w:tcW w:w="843" w:type="dxa"/>
                  <w:noWrap w:val="0"/>
                  <w:vAlign w:val="top"/>
                </w:tcPr>
                <w:p w14:paraId="730C54C2">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修改时间</w:t>
                  </w:r>
                </w:p>
              </w:tc>
              <w:tc>
                <w:tcPr>
                  <w:tcW w:w="843" w:type="dxa"/>
                  <w:noWrap w:val="0"/>
                  <w:vAlign w:val="top"/>
                </w:tcPr>
                <w:p w14:paraId="7C3E4BB1">
                  <w:pPr>
                    <w:pStyle w:val="11"/>
                    <w:numPr>
                      <w:ilvl w:val="0"/>
                      <w:numId w:val="0"/>
                    </w:numPr>
                    <w:tabs>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状态</w:t>
                  </w:r>
                </w:p>
              </w:tc>
            </w:tr>
            <w:tr w14:paraId="3F62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3" w:type="dxa"/>
                  <w:noWrap w:val="0"/>
                  <w:vAlign w:val="top"/>
                </w:tcPr>
                <w:p w14:paraId="33F41FDF">
                  <w:pPr>
                    <w:pStyle w:val="11"/>
                    <w:numPr>
                      <w:ilvl w:val="0"/>
                      <w:numId w:val="0"/>
                    </w:numPr>
                    <w:tabs>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KP001</w:t>
                  </w:r>
                </w:p>
              </w:tc>
              <w:tc>
                <w:tcPr>
                  <w:tcW w:w="843" w:type="dxa"/>
                  <w:noWrap w:val="0"/>
                  <w:vAlign w:val="top"/>
                </w:tcPr>
                <w:p w14:paraId="57486AD3">
                  <w:pPr>
                    <w:pStyle w:val="11"/>
                    <w:numPr>
                      <w:ilvl w:val="0"/>
                      <w:numId w:val="0"/>
                    </w:numPr>
                    <w:tabs>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云支付-认证</w:t>
                  </w:r>
                </w:p>
              </w:tc>
              <w:tc>
                <w:tcPr>
                  <w:tcW w:w="843" w:type="dxa"/>
                  <w:noWrap w:val="0"/>
                  <w:vAlign w:val="top"/>
                </w:tcPr>
                <w:p w14:paraId="4DDA933D">
                  <w:pPr>
                    <w:pStyle w:val="11"/>
                    <w:numPr>
                      <w:ilvl w:val="0"/>
                      <w:numId w:val="0"/>
                    </w:numPr>
                    <w:tabs>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清结算</w:t>
                  </w:r>
                </w:p>
                <w:p w14:paraId="3414BDAC">
                  <w:pPr>
                    <w:pStyle w:val="11"/>
                    <w:numPr>
                      <w:ilvl w:val="0"/>
                      <w:numId w:val="0"/>
                    </w:numPr>
                    <w:tabs>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手续费支出</w:t>
                  </w:r>
                </w:p>
              </w:tc>
              <w:tc>
                <w:tcPr>
                  <w:tcW w:w="843" w:type="dxa"/>
                  <w:noWrap w:val="0"/>
                  <w:vAlign w:val="top"/>
                </w:tcPr>
                <w:p w14:paraId="63FAEABF">
                  <w:pPr>
                    <w:pStyle w:val="11"/>
                    <w:numPr>
                      <w:ilvl w:val="0"/>
                      <w:numId w:val="0"/>
                    </w:numPr>
                    <w:tabs>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城银清</w:t>
                  </w:r>
                </w:p>
              </w:tc>
              <w:tc>
                <w:tcPr>
                  <w:tcW w:w="843" w:type="dxa"/>
                  <w:noWrap w:val="0"/>
                  <w:vAlign w:val="top"/>
                </w:tcPr>
                <w:p w14:paraId="6BEBF572">
                  <w:pPr>
                    <w:pStyle w:val="11"/>
                    <w:numPr>
                      <w:ilvl w:val="0"/>
                      <w:numId w:val="0"/>
                    </w:numPr>
                    <w:tabs>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6%</w:t>
                  </w:r>
                </w:p>
              </w:tc>
              <w:tc>
                <w:tcPr>
                  <w:tcW w:w="843" w:type="dxa"/>
                  <w:noWrap w:val="0"/>
                  <w:vAlign w:val="top"/>
                </w:tcPr>
                <w:p w14:paraId="3A3BE0DF">
                  <w:pPr>
                    <w:pStyle w:val="11"/>
                    <w:numPr>
                      <w:ilvl w:val="0"/>
                      <w:numId w:val="0"/>
                    </w:numPr>
                    <w:tabs>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p>
              </w:tc>
              <w:tc>
                <w:tcPr>
                  <w:tcW w:w="843" w:type="dxa"/>
                  <w:noWrap w:val="0"/>
                  <w:vAlign w:val="top"/>
                </w:tcPr>
                <w:p w14:paraId="61EBAAAB">
                  <w:pPr>
                    <w:pStyle w:val="11"/>
                    <w:numPr>
                      <w:ilvl w:val="0"/>
                      <w:numId w:val="0"/>
                    </w:numPr>
                    <w:tabs>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p>
              </w:tc>
              <w:tc>
                <w:tcPr>
                  <w:tcW w:w="843" w:type="dxa"/>
                  <w:noWrap w:val="0"/>
                  <w:vAlign w:val="top"/>
                </w:tcPr>
                <w:p w14:paraId="41AC4F45">
                  <w:pPr>
                    <w:pStyle w:val="11"/>
                    <w:numPr>
                      <w:ilvl w:val="0"/>
                      <w:numId w:val="0"/>
                    </w:numPr>
                    <w:tabs>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YYYYMMDD</w:t>
                  </w:r>
                </w:p>
                <w:p w14:paraId="65A15221">
                  <w:pPr>
                    <w:pStyle w:val="11"/>
                    <w:numPr>
                      <w:ilvl w:val="0"/>
                      <w:numId w:val="0"/>
                    </w:numPr>
                    <w:tabs>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-HH：MM：SS</w:t>
                  </w:r>
                </w:p>
              </w:tc>
              <w:tc>
                <w:tcPr>
                  <w:tcW w:w="843" w:type="dxa"/>
                  <w:noWrap w:val="0"/>
                  <w:vAlign w:val="top"/>
                </w:tcPr>
                <w:p w14:paraId="0E734B9A">
                  <w:pPr>
                    <w:pStyle w:val="11"/>
                    <w:numPr>
                      <w:ilvl w:val="0"/>
                      <w:numId w:val="0"/>
                    </w:numPr>
                    <w:tabs>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p>
              </w:tc>
              <w:tc>
                <w:tcPr>
                  <w:tcW w:w="843" w:type="dxa"/>
                  <w:noWrap w:val="0"/>
                  <w:vAlign w:val="top"/>
                </w:tcPr>
                <w:p w14:paraId="6C4632E1">
                  <w:pPr>
                    <w:pStyle w:val="11"/>
                    <w:numPr>
                      <w:ilvl w:val="0"/>
                      <w:numId w:val="0"/>
                    </w:numPr>
                    <w:tabs>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启用</w:t>
                  </w:r>
                </w:p>
              </w:tc>
            </w:tr>
            <w:tr w14:paraId="463A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3" w:type="dxa"/>
                  <w:noWrap w:val="0"/>
                  <w:vAlign w:val="top"/>
                </w:tcPr>
                <w:p w14:paraId="05EC682F">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KP002</w:t>
                  </w:r>
                </w:p>
              </w:tc>
              <w:tc>
                <w:tcPr>
                  <w:tcW w:w="843" w:type="dxa"/>
                  <w:noWrap w:val="0"/>
                  <w:vAlign w:val="top"/>
                </w:tcPr>
                <w:p w14:paraId="5888ED9E">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云支付-代收</w:t>
                  </w:r>
                </w:p>
              </w:tc>
              <w:tc>
                <w:tcPr>
                  <w:tcW w:w="843" w:type="dxa"/>
                  <w:noWrap w:val="0"/>
                  <w:vAlign w:val="top"/>
                </w:tcPr>
                <w:p w14:paraId="6D6F0122">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渠道技术服务费收入</w:t>
                  </w:r>
                </w:p>
              </w:tc>
              <w:tc>
                <w:tcPr>
                  <w:tcW w:w="843" w:type="dxa"/>
                  <w:noWrap w:val="0"/>
                  <w:vAlign w:val="top"/>
                </w:tcPr>
                <w:p w14:paraId="22B859BD">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农行</w:t>
                  </w:r>
                </w:p>
              </w:tc>
              <w:tc>
                <w:tcPr>
                  <w:tcW w:w="843" w:type="dxa"/>
                  <w:shd w:val="clear" w:color="auto" w:fill="auto"/>
                  <w:noWrap w:val="0"/>
                  <w:vAlign w:val="top"/>
                </w:tcPr>
                <w:p w14:paraId="7D475C67">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6%</w:t>
                  </w:r>
                </w:p>
              </w:tc>
              <w:tc>
                <w:tcPr>
                  <w:tcW w:w="843" w:type="dxa"/>
                  <w:shd w:val="clear" w:color="auto" w:fill="auto"/>
                  <w:noWrap w:val="0"/>
                  <w:vAlign w:val="top"/>
                </w:tcPr>
                <w:p w14:paraId="1DBD9442">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0A5055BF">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596A1DF9">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401FF450">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01CDD74E">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禁用</w:t>
                  </w:r>
                </w:p>
              </w:tc>
            </w:tr>
            <w:tr w14:paraId="66AE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3" w:type="dxa"/>
                  <w:noWrap w:val="0"/>
                  <w:vAlign w:val="top"/>
                </w:tcPr>
                <w:p w14:paraId="791BD53B">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KP003</w:t>
                  </w:r>
                </w:p>
              </w:tc>
              <w:tc>
                <w:tcPr>
                  <w:tcW w:w="843" w:type="dxa"/>
                  <w:noWrap w:val="0"/>
                  <w:vAlign w:val="top"/>
                </w:tcPr>
                <w:p w14:paraId="39307487">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云支付-网联</w:t>
                  </w:r>
                </w:p>
              </w:tc>
              <w:tc>
                <w:tcPr>
                  <w:tcW w:w="843" w:type="dxa"/>
                  <w:noWrap w:val="0"/>
                  <w:vAlign w:val="top"/>
                </w:tcPr>
                <w:p w14:paraId="276571CF">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渠道平台费支出</w:t>
                  </w:r>
                </w:p>
              </w:tc>
              <w:tc>
                <w:tcPr>
                  <w:tcW w:w="843" w:type="dxa"/>
                  <w:noWrap w:val="0"/>
                  <w:vAlign w:val="top"/>
                </w:tcPr>
                <w:p w14:paraId="13B06C4F">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网联</w:t>
                  </w:r>
                </w:p>
              </w:tc>
              <w:tc>
                <w:tcPr>
                  <w:tcW w:w="843" w:type="dxa"/>
                  <w:shd w:val="clear" w:color="auto" w:fill="auto"/>
                  <w:noWrap w:val="0"/>
                  <w:vAlign w:val="top"/>
                </w:tcPr>
                <w:p w14:paraId="4592EF6B">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6%</w:t>
                  </w:r>
                </w:p>
              </w:tc>
              <w:tc>
                <w:tcPr>
                  <w:tcW w:w="843" w:type="dxa"/>
                  <w:shd w:val="clear" w:color="auto" w:fill="auto"/>
                  <w:noWrap w:val="0"/>
                  <w:vAlign w:val="top"/>
                </w:tcPr>
                <w:p w14:paraId="65D99CBC">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04B1775C">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2E250FC7">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102CC298">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6C5BF087">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r>
            <w:tr w14:paraId="7BA7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3" w:type="dxa"/>
                  <w:noWrap w:val="0"/>
                  <w:vAlign w:val="top"/>
                </w:tcPr>
                <w:p w14:paraId="35B342EF">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KP004</w:t>
                  </w:r>
                </w:p>
              </w:tc>
              <w:tc>
                <w:tcPr>
                  <w:tcW w:w="843" w:type="dxa"/>
                  <w:noWrap w:val="0"/>
                  <w:vAlign w:val="top"/>
                </w:tcPr>
                <w:p w14:paraId="33652D61">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云支付-银企直连</w:t>
                  </w:r>
                </w:p>
              </w:tc>
              <w:tc>
                <w:tcPr>
                  <w:tcW w:w="843" w:type="dxa"/>
                  <w:noWrap w:val="0"/>
                  <w:vAlign w:val="top"/>
                </w:tcPr>
                <w:p w14:paraId="11D25E77">
                  <w:pPr>
                    <w:pStyle w:val="11"/>
                    <w:numPr>
                      <w:ilvl w:val="0"/>
                      <w:numId w:val="0"/>
                    </w:numPr>
                    <w:tabs>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清结算</w:t>
                  </w:r>
                </w:p>
                <w:p w14:paraId="7975A721">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手续费支出</w:t>
                  </w:r>
                </w:p>
              </w:tc>
              <w:tc>
                <w:tcPr>
                  <w:tcW w:w="843" w:type="dxa"/>
                  <w:noWrap w:val="0"/>
                  <w:vAlign w:val="top"/>
                </w:tcPr>
                <w:p w14:paraId="574686A7">
                  <w:pPr>
                    <w:pStyle w:val="11"/>
                    <w:numPr>
                      <w:ilvl w:val="0"/>
                      <w:numId w:val="0"/>
                    </w:numPr>
                    <w:tabs>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银联</w:t>
                  </w:r>
                </w:p>
              </w:tc>
              <w:tc>
                <w:tcPr>
                  <w:tcW w:w="843" w:type="dxa"/>
                  <w:shd w:val="clear" w:color="auto" w:fill="auto"/>
                  <w:noWrap w:val="0"/>
                  <w:vAlign w:val="top"/>
                </w:tcPr>
                <w:p w14:paraId="223D3216">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6%</w:t>
                  </w:r>
                </w:p>
              </w:tc>
              <w:tc>
                <w:tcPr>
                  <w:tcW w:w="843" w:type="dxa"/>
                  <w:shd w:val="clear" w:color="auto" w:fill="auto"/>
                  <w:noWrap w:val="0"/>
                  <w:vAlign w:val="top"/>
                </w:tcPr>
                <w:p w14:paraId="5FF4FC52">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4F21585C">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7ED3ABD9">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27592D60">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843" w:type="dxa"/>
                  <w:shd w:val="clear" w:color="auto" w:fill="auto"/>
                  <w:noWrap w:val="0"/>
                  <w:vAlign w:val="top"/>
                </w:tcPr>
                <w:p w14:paraId="2D4E0777">
                  <w:pPr>
                    <w:pStyle w:val="11"/>
                    <w:numPr>
                      <w:ilvl w:val="0"/>
                      <w:numId w:val="0"/>
                    </w:numPr>
                    <w:tabs>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r>
          </w:tbl>
          <w:p w14:paraId="3190D9E8">
            <w:pPr>
              <w:numPr>
                <w:ilvl w:val="0"/>
                <w:numId w:val="0"/>
              </w:numPr>
              <w:rPr>
                <w:rFonts w:hint="eastAsia" w:ascii="华文仿宋" w:hAnsi="华文仿宋" w:eastAsia="华文仿宋" w:cs="华文仿宋"/>
                <w:b w:val="0"/>
                <w:bCs w:val="0"/>
                <w:sz w:val="32"/>
                <w:szCs w:val="32"/>
                <w:lang w:val="en-US" w:eastAsia="zh-CN"/>
              </w:rPr>
            </w:pPr>
          </w:p>
          <w:p w14:paraId="24FA27FC">
            <w:pPr>
              <w:pStyle w:val="14"/>
              <w:numPr>
                <w:ilvl w:val="0"/>
                <w:numId w:val="0"/>
              </w:numPr>
              <w:spacing w:after="0"/>
              <w:rPr>
                <w:rFonts w:hint="default" w:ascii="华文仿宋" w:hAnsi="华文仿宋" w:eastAsia="华文仿宋" w:cs="华文仿宋"/>
                <w:b w:val="0"/>
                <w:bCs w:val="0"/>
                <w:sz w:val="32"/>
                <w:szCs w:val="32"/>
                <w:lang w:val="en-US" w:eastAsia="zh-CN"/>
              </w:rPr>
            </w:pPr>
          </w:p>
          <w:p w14:paraId="7B725113">
            <w:pPr>
              <w:pStyle w:val="14"/>
              <w:numPr>
                <w:ilvl w:val="0"/>
                <w:numId w:val="0"/>
              </w:numPr>
              <w:rPr>
                <w:rFonts w:hint="default" w:ascii="华文仿宋" w:hAnsi="华文仿宋" w:eastAsia="华文仿宋" w:cs="华文仿宋"/>
                <w:b w:val="0"/>
                <w:bCs w:val="0"/>
                <w:sz w:val="32"/>
                <w:szCs w:val="32"/>
                <w:lang w:val="en-US" w:eastAsia="zh-CN"/>
              </w:rPr>
            </w:pPr>
          </w:p>
          <w:p w14:paraId="4637DD94">
            <w:pPr>
              <w:pStyle w:val="14"/>
              <w:numPr>
                <w:ilvl w:val="0"/>
                <w:numId w:val="0"/>
              </w:numPr>
              <w:rPr>
                <w:rFonts w:hint="default" w:ascii="华文仿宋" w:hAnsi="华文仿宋" w:eastAsia="华文仿宋" w:cs="华文仿宋"/>
                <w:b w:val="0"/>
                <w:bCs w:val="0"/>
                <w:sz w:val="32"/>
                <w:szCs w:val="32"/>
                <w:lang w:val="en-US" w:eastAsia="zh-CN"/>
              </w:rPr>
            </w:pPr>
          </w:p>
          <w:p w14:paraId="48DFE3B0">
            <w:pPr>
              <w:numPr>
                <w:ilvl w:val="0"/>
                <w:numId w:val="0"/>
              </w:numPr>
              <w:ind w:leftChars="0"/>
              <w:rPr>
                <w:rFonts w:hint="eastAsia" w:ascii="华文仿宋" w:hAnsi="华文仿宋" w:eastAsia="华文仿宋" w:cs="华文仿宋"/>
                <w:sz w:val="32"/>
                <w:szCs w:val="32"/>
                <w:lang w:val="en-US" w:eastAsia="zh-CN"/>
              </w:rPr>
            </w:pPr>
          </w:p>
          <w:p w14:paraId="21CAC8E2">
            <w:pPr>
              <w:numPr>
                <w:ilvl w:val="0"/>
                <w:numId w:val="0"/>
              </w:numPr>
              <w:ind w:leftChars="0"/>
              <w:rPr>
                <w:rFonts w:hint="eastAsia" w:ascii="华文仿宋" w:hAnsi="华文仿宋" w:eastAsia="华文仿宋" w:cs="华文仿宋"/>
                <w:sz w:val="32"/>
                <w:szCs w:val="32"/>
                <w:lang w:val="en-US" w:eastAsia="zh-CN"/>
              </w:rPr>
            </w:pPr>
          </w:p>
          <w:p w14:paraId="6E631B45">
            <w:pPr>
              <w:numPr>
                <w:ilvl w:val="0"/>
                <w:numId w:val="0"/>
              </w:numPr>
              <w:rPr>
                <w:rFonts w:hint="eastAsia" w:ascii="华文仿宋" w:hAnsi="华文仿宋" w:eastAsia="华文仿宋" w:cs="华文仿宋"/>
                <w:b/>
                <w:bCs/>
                <w:sz w:val="32"/>
                <w:szCs w:val="32"/>
                <w:lang w:val="en-US" w:eastAsia="zh-CN"/>
              </w:rPr>
            </w:pPr>
          </w:p>
          <w:p w14:paraId="5F1B5D2C">
            <w:pPr>
              <w:numPr>
                <w:ilvl w:val="0"/>
                <w:numId w:val="0"/>
              </w:numPr>
              <w:rPr>
                <w:rFonts w:hint="eastAsia" w:ascii="华文仿宋" w:hAnsi="华文仿宋" w:eastAsia="华文仿宋" w:cs="华文仿宋"/>
                <w:b/>
                <w:bCs/>
                <w:sz w:val="32"/>
                <w:szCs w:val="32"/>
                <w:lang w:val="en-US" w:eastAsia="zh-CN"/>
              </w:rPr>
            </w:pPr>
          </w:p>
          <w:p w14:paraId="6CE6FEE9">
            <w:pPr>
              <w:numPr>
                <w:ilvl w:val="0"/>
                <w:numId w:val="0"/>
              </w:numPr>
              <w:rPr>
                <w:rFonts w:hint="eastAsia" w:ascii="华文仿宋" w:hAnsi="华文仿宋" w:eastAsia="华文仿宋" w:cs="华文仿宋"/>
                <w:b/>
                <w:bCs/>
                <w:sz w:val="32"/>
                <w:szCs w:val="32"/>
                <w:lang w:val="en-US" w:eastAsia="zh-CN"/>
              </w:rPr>
            </w:pPr>
          </w:p>
          <w:p w14:paraId="4FC83CAB">
            <w:pPr>
              <w:numPr>
                <w:ilvl w:val="0"/>
                <w:numId w:val="0"/>
              </w:numPr>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二、增加-手续费统计报表（详见如下表格）</w:t>
            </w:r>
          </w:p>
          <w:p w14:paraId="412A6CC8">
            <w:pPr>
              <w:numPr>
                <w:ilvl w:val="0"/>
                <w:numId w:val="0"/>
              </w:numPr>
              <w:ind w:firstLine="640" w:firstLineChars="200"/>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通过手续费统计模块，运营可按一定周期及通道查询出各通道的手续费和税费明细。</w:t>
            </w:r>
          </w:p>
          <w:p w14:paraId="41EDEBA5">
            <w:pPr>
              <w:numPr>
                <w:ilvl w:val="0"/>
                <w:numId w:val="0"/>
              </w:numPr>
              <w:ind w:firstLine="640" w:firstLineChars="200"/>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如系统计算的明细与发票明细出入，则支持人工核实后录入。</w:t>
            </w:r>
          </w:p>
          <w:p w14:paraId="72DFA284">
            <w:pPr>
              <w:numPr>
                <w:ilvl w:val="0"/>
                <w:numId w:val="0"/>
              </w:numPr>
              <w:ind w:firstLine="640" w:firstLineChars="200"/>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运营核实开票明细后，点击并提交【信息同步】，经办人和复核人审批通过后，将开票信息同步给综合前端系统，进行收付费审核流程。</w:t>
            </w:r>
          </w:p>
          <w:p w14:paraId="7AFE342A">
            <w:pPr>
              <w:numPr>
                <w:ilvl w:val="0"/>
                <w:numId w:val="0"/>
              </w:numPr>
              <w:rPr>
                <w:rFonts w:hint="eastAsia" w:ascii="华文仿宋" w:hAnsi="华文仿宋" w:eastAsia="华文仿宋" w:cs="华文仿宋"/>
                <w:b w:val="0"/>
                <w:bCs w:val="0"/>
                <w:sz w:val="32"/>
                <w:szCs w:val="32"/>
                <w:lang w:val="en-US" w:eastAsia="zh-CN"/>
              </w:rPr>
            </w:pPr>
          </w:p>
          <w:tbl>
            <w:tblPr>
              <w:tblStyle w:val="24"/>
              <w:tblpPr w:leftFromText="180" w:rightFromText="180" w:vertAnchor="text" w:horzAnchor="page" w:tblpX="806" w:tblpY="127"/>
              <w:tblOverlap w:val="never"/>
              <w:tblW w:w="111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2"/>
              <w:gridCol w:w="590"/>
              <w:gridCol w:w="705"/>
              <w:gridCol w:w="541"/>
              <w:gridCol w:w="541"/>
              <w:gridCol w:w="1016"/>
              <w:gridCol w:w="1214"/>
              <w:gridCol w:w="1131"/>
              <w:gridCol w:w="1459"/>
              <w:gridCol w:w="1459"/>
              <w:gridCol w:w="1626"/>
            </w:tblGrid>
            <w:tr w14:paraId="54FC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14" w:hRule="atLeast"/>
              </w:trPr>
              <w:tc>
                <w:tcPr>
                  <w:tcW w:w="11194" w:type="dxa"/>
                  <w:gridSpan w:val="11"/>
                  <w:noWrap w:val="0"/>
                  <w:vAlign w:val="top"/>
                </w:tcPr>
                <w:p w14:paraId="1244BD44">
                  <w:pPr>
                    <w:numPr>
                      <w:ilvl w:val="0"/>
                      <w:numId w:val="0"/>
                    </w:numPr>
                    <w:rPr>
                      <w:rFonts w:hint="default"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手续费统计报表</w:t>
                  </w:r>
                </w:p>
                <w:p w14:paraId="4B6CC41E">
                  <w:pPr>
                    <w:numPr>
                      <w:ilvl w:val="0"/>
                      <w:numId w:val="0"/>
                    </w:numPr>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必输选项：计费周期（起/始）、通道名称（可选多通道）</w:t>
                  </w:r>
                </w:p>
                <w:p w14:paraId="60254E04">
                  <w:pPr>
                    <w:numPr>
                      <w:ilvl w:val="0"/>
                      <w:numId w:val="0"/>
                    </w:numPr>
                    <w:rPr>
                      <w:rFonts w:hint="eastAsia" w:ascii="仿宋" w:hAnsi="仿宋" w:eastAsia="仿宋" w:cs="仿宋"/>
                      <w:b/>
                      <w:bCs/>
                      <w:color w:val="auto"/>
                      <w:sz w:val="16"/>
                      <w:szCs w:val="16"/>
                      <w:lang w:val="en-US" w:eastAsia="zh-CN" w:bidi="ar-SA"/>
                    </w:rPr>
                  </w:pPr>
                  <w:r>
                    <w:rPr>
                      <w:rFonts w:hint="eastAsia" w:ascii="华文仿宋" w:hAnsi="华文仿宋" w:eastAsia="华文仿宋" w:cs="华文仿宋"/>
                      <w:b w:val="0"/>
                      <w:bCs w:val="0"/>
                      <w:sz w:val="32"/>
                      <w:szCs w:val="32"/>
                      <w:lang w:val="en-US" w:eastAsia="zh-CN"/>
                    </w:rPr>
                    <w:t>操作：查询</w:t>
                  </w:r>
                </w:p>
              </w:tc>
            </w:tr>
            <w:tr w14:paraId="0FB2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14" w:hRule="atLeast"/>
              </w:trPr>
              <w:tc>
                <w:tcPr>
                  <w:tcW w:w="912" w:type="dxa"/>
                  <w:noWrap w:val="0"/>
                  <w:vAlign w:val="top"/>
                </w:tcPr>
                <w:p w14:paraId="37165300">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费用类型</w:t>
                  </w:r>
                </w:p>
              </w:tc>
              <w:tc>
                <w:tcPr>
                  <w:tcW w:w="590" w:type="dxa"/>
                  <w:noWrap w:val="0"/>
                  <w:vAlign w:val="top"/>
                </w:tcPr>
                <w:p w14:paraId="2C736095">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vertAlign w:val="baseline"/>
                      <w:lang w:val="en-US" w:eastAsia="zh-CN" w:bidi="ar-SA"/>
                    </w:rPr>
                  </w:pPr>
                  <w:r>
                    <w:rPr>
                      <w:rFonts w:hint="eastAsia" w:ascii="仿宋" w:hAnsi="仿宋" w:eastAsia="仿宋" w:cs="仿宋"/>
                      <w:b/>
                      <w:bCs/>
                      <w:color w:val="auto"/>
                      <w:sz w:val="16"/>
                      <w:szCs w:val="16"/>
                      <w:lang w:val="en-US" w:eastAsia="zh-CN" w:bidi="ar-SA"/>
                    </w:rPr>
                    <w:t>计费日期（起）</w:t>
                  </w:r>
                </w:p>
              </w:tc>
              <w:tc>
                <w:tcPr>
                  <w:tcW w:w="705" w:type="dxa"/>
                  <w:noWrap w:val="0"/>
                  <w:vAlign w:val="top"/>
                </w:tcPr>
                <w:p w14:paraId="27B040C0">
                  <w:pPr>
                    <w:pStyle w:val="11"/>
                    <w:numPr>
                      <w:ilvl w:val="0"/>
                      <w:numId w:val="0"/>
                    </w:numPr>
                    <w:tabs>
                      <w:tab w:val="left" w:pos="779"/>
                      <w:tab w:val="left" w:pos="3295"/>
                      <w:tab w:val="left" w:pos="5860"/>
                    </w:tabs>
                    <w:spacing w:before="120" w:beforeLines="50" w:after="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计费日期（始）</w:t>
                  </w:r>
                </w:p>
              </w:tc>
              <w:tc>
                <w:tcPr>
                  <w:tcW w:w="541" w:type="dxa"/>
                  <w:noWrap w:val="0"/>
                  <w:vAlign w:val="top"/>
                </w:tcPr>
                <w:p w14:paraId="67C1A5CE">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vertAlign w:val="baseline"/>
                      <w:lang w:val="en-US" w:eastAsia="zh-CN" w:bidi="ar-SA"/>
                    </w:rPr>
                  </w:pPr>
                  <w:r>
                    <w:rPr>
                      <w:rFonts w:hint="eastAsia" w:ascii="仿宋" w:hAnsi="仿宋" w:eastAsia="仿宋" w:cs="仿宋"/>
                      <w:b/>
                      <w:bCs/>
                      <w:color w:val="auto"/>
                      <w:sz w:val="16"/>
                      <w:szCs w:val="16"/>
                      <w:lang w:val="en-US" w:eastAsia="zh-CN" w:bidi="ar-SA"/>
                    </w:rPr>
                    <w:t>通道名称</w:t>
                  </w:r>
                </w:p>
              </w:tc>
              <w:tc>
                <w:tcPr>
                  <w:tcW w:w="541" w:type="dxa"/>
                  <w:noWrap w:val="0"/>
                  <w:vAlign w:val="top"/>
                </w:tcPr>
                <w:p w14:paraId="62D1F0B4">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交易</w:t>
                  </w:r>
                </w:p>
                <w:p w14:paraId="5FCBFD83">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状态</w:t>
                  </w:r>
                </w:p>
              </w:tc>
              <w:tc>
                <w:tcPr>
                  <w:tcW w:w="1016" w:type="dxa"/>
                  <w:noWrap w:val="0"/>
                  <w:vAlign w:val="top"/>
                </w:tcPr>
                <w:p w14:paraId="03BB60C4">
                  <w:pPr>
                    <w:pStyle w:val="11"/>
                    <w:numPr>
                      <w:ilvl w:val="0"/>
                      <w:numId w:val="0"/>
                    </w:numPr>
                    <w:tabs>
                      <w:tab w:val="left" w:pos="779"/>
                      <w:tab w:val="left" w:pos="3295"/>
                      <w:tab w:val="left" w:pos="5860"/>
                    </w:tabs>
                    <w:spacing w:before="120" w:beforeLines="50" w:after="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手续费</w:t>
                  </w:r>
                </w:p>
                <w:p w14:paraId="2C037B7E">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vertAlign w:val="baseline"/>
                      <w:lang w:val="en-US" w:eastAsia="zh-CN" w:bidi="ar-SA"/>
                    </w:rPr>
                  </w:pPr>
                  <w:r>
                    <w:rPr>
                      <w:rFonts w:hint="eastAsia" w:ascii="仿宋" w:hAnsi="仿宋" w:eastAsia="仿宋" w:cs="仿宋"/>
                      <w:b/>
                      <w:bCs/>
                      <w:color w:val="auto"/>
                      <w:sz w:val="16"/>
                      <w:szCs w:val="16"/>
                      <w:lang w:val="en-US" w:eastAsia="zh-CN" w:bidi="ar-SA"/>
                    </w:rPr>
                    <w:t>金额</w:t>
                  </w:r>
                </w:p>
              </w:tc>
              <w:tc>
                <w:tcPr>
                  <w:tcW w:w="1214" w:type="dxa"/>
                  <w:noWrap w:val="0"/>
                  <w:vAlign w:val="top"/>
                </w:tcPr>
                <w:p w14:paraId="383F7ECD">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税费金额</w:t>
                  </w:r>
                </w:p>
              </w:tc>
              <w:tc>
                <w:tcPr>
                  <w:tcW w:w="1131" w:type="dxa"/>
                  <w:noWrap w:val="0"/>
                  <w:vAlign w:val="top"/>
                </w:tcPr>
                <w:p w14:paraId="09621170">
                  <w:pPr>
                    <w:pStyle w:val="11"/>
                    <w:numPr>
                      <w:ilvl w:val="0"/>
                      <w:numId w:val="0"/>
                    </w:numPr>
                    <w:tabs>
                      <w:tab w:val="left" w:pos="779"/>
                      <w:tab w:val="left" w:pos="3295"/>
                      <w:tab w:val="left" w:pos="5860"/>
                    </w:tabs>
                    <w:spacing w:before="120" w:beforeLines="50" w:after="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核定金额</w:t>
                  </w:r>
                </w:p>
                <w:p w14:paraId="72E96302">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default" w:ascii="仿宋" w:hAnsi="仿宋" w:eastAsia="仿宋" w:cs="仿宋"/>
                      <w:b/>
                      <w:bCs/>
                      <w:color w:val="auto"/>
                      <w:sz w:val="16"/>
                      <w:szCs w:val="16"/>
                      <w:lang w:val="en-US" w:eastAsia="zh-CN" w:bidi="ar-SA"/>
                    </w:rPr>
                    <w:t>(</w:t>
                  </w:r>
                  <w:r>
                    <w:rPr>
                      <w:rFonts w:hint="eastAsia" w:ascii="仿宋" w:hAnsi="仿宋" w:eastAsia="仿宋" w:cs="仿宋"/>
                      <w:b/>
                      <w:bCs/>
                      <w:color w:val="auto"/>
                      <w:sz w:val="16"/>
                      <w:szCs w:val="16"/>
                      <w:lang w:val="en-US" w:eastAsia="zh-CN" w:bidi="ar-SA"/>
                    </w:rPr>
                    <w:t>人工录入</w:t>
                  </w:r>
                  <w:r>
                    <w:rPr>
                      <w:rFonts w:hint="default" w:ascii="仿宋" w:hAnsi="仿宋" w:eastAsia="仿宋" w:cs="仿宋"/>
                      <w:b/>
                      <w:bCs/>
                      <w:color w:val="auto"/>
                      <w:sz w:val="16"/>
                      <w:szCs w:val="16"/>
                      <w:lang w:val="en-US" w:eastAsia="zh-CN" w:bidi="ar-SA"/>
                    </w:rPr>
                    <w:t>)</w:t>
                  </w:r>
                </w:p>
              </w:tc>
              <w:tc>
                <w:tcPr>
                  <w:tcW w:w="1459" w:type="dxa"/>
                  <w:noWrap w:val="0"/>
                  <w:vAlign w:val="top"/>
                </w:tcPr>
                <w:p w14:paraId="36BC76B4">
                  <w:pPr>
                    <w:pStyle w:val="11"/>
                    <w:numPr>
                      <w:ilvl w:val="0"/>
                      <w:numId w:val="0"/>
                    </w:numPr>
                    <w:tabs>
                      <w:tab w:val="left" w:pos="779"/>
                      <w:tab w:val="left" w:pos="3295"/>
                      <w:tab w:val="left" w:pos="5860"/>
                    </w:tabs>
                    <w:spacing w:before="120" w:beforeLines="50" w:after="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税费金额</w:t>
                  </w:r>
                </w:p>
                <w:p w14:paraId="0D463C7B">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default" w:ascii="仿宋" w:hAnsi="仿宋" w:eastAsia="仿宋" w:cs="仿宋"/>
                      <w:b/>
                      <w:bCs/>
                      <w:color w:val="auto"/>
                      <w:sz w:val="16"/>
                      <w:szCs w:val="16"/>
                      <w:lang w:val="en-US" w:eastAsia="zh-CN" w:bidi="ar-SA"/>
                    </w:rPr>
                    <w:t>(</w:t>
                  </w:r>
                  <w:r>
                    <w:rPr>
                      <w:rFonts w:hint="eastAsia" w:ascii="仿宋" w:hAnsi="仿宋" w:eastAsia="仿宋" w:cs="仿宋"/>
                      <w:b/>
                      <w:bCs/>
                      <w:color w:val="auto"/>
                      <w:sz w:val="16"/>
                      <w:szCs w:val="16"/>
                      <w:lang w:val="en-US" w:eastAsia="zh-CN" w:bidi="ar-SA"/>
                    </w:rPr>
                    <w:t>人工录入</w:t>
                  </w:r>
                  <w:r>
                    <w:rPr>
                      <w:rFonts w:hint="default" w:ascii="仿宋" w:hAnsi="仿宋" w:eastAsia="仿宋" w:cs="仿宋"/>
                      <w:b/>
                      <w:bCs/>
                      <w:color w:val="auto"/>
                      <w:sz w:val="16"/>
                      <w:szCs w:val="16"/>
                      <w:lang w:val="en-US" w:eastAsia="zh-CN" w:bidi="ar-SA"/>
                    </w:rPr>
                    <w:t>)</w:t>
                  </w:r>
                </w:p>
              </w:tc>
              <w:tc>
                <w:tcPr>
                  <w:tcW w:w="1459" w:type="dxa"/>
                  <w:noWrap w:val="0"/>
                  <w:vAlign w:val="top"/>
                </w:tcPr>
                <w:p w14:paraId="65605E64">
                  <w:pPr>
                    <w:pStyle w:val="11"/>
                    <w:numPr>
                      <w:ilvl w:val="0"/>
                      <w:numId w:val="0"/>
                    </w:numPr>
                    <w:tabs>
                      <w:tab w:val="left" w:pos="779"/>
                      <w:tab w:val="left" w:pos="3295"/>
                      <w:tab w:val="left" w:pos="5860"/>
                    </w:tabs>
                    <w:spacing w:before="120" w:beforeLines="50" w:after="0"/>
                    <w:rPr>
                      <w:rFonts w:hint="eastAsia"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备注</w:t>
                  </w:r>
                </w:p>
                <w:p w14:paraId="56A513D8">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default" w:ascii="仿宋" w:hAnsi="仿宋" w:eastAsia="仿宋" w:cs="仿宋"/>
                      <w:b/>
                      <w:bCs/>
                      <w:color w:val="auto"/>
                      <w:sz w:val="16"/>
                      <w:szCs w:val="16"/>
                      <w:lang w:val="en-US" w:eastAsia="zh-CN" w:bidi="ar-SA"/>
                    </w:rPr>
                    <w:t>(</w:t>
                  </w:r>
                  <w:r>
                    <w:rPr>
                      <w:rFonts w:hint="eastAsia" w:ascii="仿宋" w:hAnsi="仿宋" w:eastAsia="仿宋" w:cs="仿宋"/>
                      <w:b/>
                      <w:bCs/>
                      <w:color w:val="auto"/>
                      <w:sz w:val="16"/>
                      <w:szCs w:val="16"/>
                      <w:lang w:val="en-US" w:eastAsia="zh-CN" w:bidi="ar-SA"/>
                    </w:rPr>
                    <w:t>人工录入</w:t>
                  </w:r>
                  <w:r>
                    <w:rPr>
                      <w:rFonts w:hint="default" w:ascii="仿宋" w:hAnsi="仿宋" w:eastAsia="仿宋" w:cs="仿宋"/>
                      <w:b/>
                      <w:bCs/>
                      <w:color w:val="auto"/>
                      <w:sz w:val="16"/>
                      <w:szCs w:val="16"/>
                      <w:lang w:val="en-US" w:eastAsia="zh-CN" w:bidi="ar-SA"/>
                    </w:rPr>
                    <w:t>)</w:t>
                  </w:r>
                </w:p>
              </w:tc>
              <w:tc>
                <w:tcPr>
                  <w:tcW w:w="1626" w:type="dxa"/>
                  <w:noWrap w:val="0"/>
                  <w:vAlign w:val="top"/>
                </w:tcPr>
                <w:p w14:paraId="390DCFB9">
                  <w:pPr>
                    <w:pStyle w:val="11"/>
                    <w:numPr>
                      <w:ilvl w:val="0"/>
                      <w:numId w:val="0"/>
                    </w:numPr>
                    <w:tabs>
                      <w:tab w:val="left" w:pos="779"/>
                      <w:tab w:val="left" w:pos="3295"/>
                      <w:tab w:val="left" w:pos="5860"/>
                    </w:tabs>
                    <w:spacing w:before="120" w:beforeLines="50" w:after="0"/>
                    <w:rPr>
                      <w:rFonts w:hint="default" w:ascii="仿宋" w:hAnsi="仿宋" w:eastAsia="仿宋" w:cs="仿宋"/>
                      <w:b/>
                      <w:bCs/>
                      <w:color w:val="auto"/>
                      <w:sz w:val="16"/>
                      <w:szCs w:val="16"/>
                      <w:lang w:val="en-US" w:eastAsia="zh-CN" w:bidi="ar-SA"/>
                    </w:rPr>
                  </w:pPr>
                  <w:r>
                    <w:rPr>
                      <w:rFonts w:hint="eastAsia" w:ascii="仿宋" w:hAnsi="仿宋" w:eastAsia="仿宋" w:cs="仿宋"/>
                      <w:b/>
                      <w:bCs/>
                      <w:color w:val="auto"/>
                      <w:sz w:val="16"/>
                      <w:szCs w:val="16"/>
                      <w:lang w:val="en-US" w:eastAsia="zh-CN" w:bidi="ar-SA"/>
                    </w:rPr>
                    <w:t>操作</w:t>
                  </w:r>
                </w:p>
              </w:tc>
            </w:tr>
            <w:tr w14:paraId="7123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50" w:hRule="atLeast"/>
              </w:trPr>
              <w:tc>
                <w:tcPr>
                  <w:tcW w:w="912" w:type="dxa"/>
                  <w:noWrap w:val="0"/>
                  <w:vAlign w:val="top"/>
                </w:tcPr>
                <w:p w14:paraId="642D0709">
                  <w:pPr>
                    <w:pStyle w:val="11"/>
                    <w:numPr>
                      <w:ilvl w:val="0"/>
                      <w:numId w:val="0"/>
                    </w:numPr>
                    <w:tabs>
                      <w:tab w:val="left" w:pos="779"/>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清结算</w:t>
                  </w:r>
                </w:p>
                <w:p w14:paraId="67B9D8B3">
                  <w:pPr>
                    <w:pStyle w:val="11"/>
                    <w:numPr>
                      <w:ilvl w:val="0"/>
                      <w:numId w:val="0"/>
                    </w:numPr>
                    <w:tabs>
                      <w:tab w:val="left" w:pos="779"/>
                      <w:tab w:val="left" w:pos="3295"/>
                      <w:tab w:val="left" w:pos="5860"/>
                    </w:tabs>
                    <w:spacing w:before="120" w:beforeLines="50" w:after="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手续费支出</w:t>
                  </w:r>
                </w:p>
              </w:tc>
              <w:tc>
                <w:tcPr>
                  <w:tcW w:w="590" w:type="dxa"/>
                  <w:noWrap w:val="0"/>
                  <w:vAlign w:val="top"/>
                </w:tcPr>
                <w:p w14:paraId="39C9D694">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202408</w:t>
                  </w:r>
                </w:p>
              </w:tc>
              <w:tc>
                <w:tcPr>
                  <w:tcW w:w="705" w:type="dxa"/>
                  <w:noWrap w:val="0"/>
                  <w:vAlign w:val="top"/>
                </w:tcPr>
                <w:p w14:paraId="2D82A985">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202408</w:t>
                  </w:r>
                </w:p>
              </w:tc>
              <w:tc>
                <w:tcPr>
                  <w:tcW w:w="541" w:type="dxa"/>
                  <w:noWrap w:val="0"/>
                  <w:vAlign w:val="top"/>
                </w:tcPr>
                <w:p w14:paraId="4E94E227">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城银清</w:t>
                  </w:r>
                </w:p>
              </w:tc>
              <w:tc>
                <w:tcPr>
                  <w:tcW w:w="541" w:type="dxa"/>
                  <w:noWrap w:val="0"/>
                  <w:vAlign w:val="top"/>
                </w:tcPr>
                <w:p w14:paraId="12406469">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全部</w:t>
                  </w:r>
                </w:p>
              </w:tc>
              <w:tc>
                <w:tcPr>
                  <w:tcW w:w="1016" w:type="dxa"/>
                  <w:noWrap w:val="0"/>
                  <w:vAlign w:val="top"/>
                </w:tcPr>
                <w:p w14:paraId="790D8B81">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2560</w:t>
                  </w:r>
                  <w:r>
                    <w:rPr>
                      <w:rFonts w:hint="default" w:ascii="仿宋" w:hAnsi="仿宋" w:eastAsia="仿宋" w:cs="仿宋"/>
                      <w:b w:val="0"/>
                      <w:bCs w:val="0"/>
                      <w:color w:val="auto"/>
                      <w:sz w:val="16"/>
                      <w:szCs w:val="16"/>
                      <w:vertAlign w:val="baseline"/>
                      <w:lang w:val="en-US" w:eastAsia="zh-CN" w:bidi="ar-SA"/>
                    </w:rPr>
                    <w:t>.00</w:t>
                  </w:r>
                </w:p>
              </w:tc>
              <w:tc>
                <w:tcPr>
                  <w:tcW w:w="1214" w:type="dxa"/>
                  <w:noWrap w:val="0"/>
                  <w:vAlign w:val="top"/>
                </w:tcPr>
                <w:p w14:paraId="093EB729">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15.36</w:t>
                  </w:r>
                </w:p>
              </w:tc>
              <w:tc>
                <w:tcPr>
                  <w:tcW w:w="1131" w:type="dxa"/>
                  <w:shd w:val="clear" w:color="auto" w:fill="auto"/>
                  <w:noWrap w:val="0"/>
                  <w:vAlign w:val="top"/>
                </w:tcPr>
                <w:p w14:paraId="00C96AB3">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258</w:t>
                  </w:r>
                  <w:r>
                    <w:rPr>
                      <w:rFonts w:hint="default" w:ascii="仿宋" w:hAnsi="仿宋" w:eastAsia="仿宋" w:cs="仿宋"/>
                      <w:b w:val="0"/>
                      <w:bCs w:val="0"/>
                      <w:color w:val="auto"/>
                      <w:sz w:val="16"/>
                      <w:szCs w:val="16"/>
                      <w:vertAlign w:val="baseline"/>
                      <w:lang w:val="en-US" w:eastAsia="zh-CN" w:bidi="ar-SA"/>
                    </w:rPr>
                    <w:t>0.00</w:t>
                  </w:r>
                </w:p>
              </w:tc>
              <w:tc>
                <w:tcPr>
                  <w:tcW w:w="1459" w:type="dxa"/>
                  <w:noWrap w:val="0"/>
                  <w:vAlign w:val="top"/>
                </w:tcPr>
                <w:p w14:paraId="6F890F2B">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p>
              </w:tc>
              <w:tc>
                <w:tcPr>
                  <w:tcW w:w="1459" w:type="dxa"/>
                  <w:noWrap w:val="0"/>
                  <w:vAlign w:val="top"/>
                </w:tcPr>
                <w:p w14:paraId="3A7EF3AE">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人工核实，与开票金额保持一致</w:t>
                  </w:r>
                </w:p>
              </w:tc>
              <w:tc>
                <w:tcPr>
                  <w:tcW w:w="1626" w:type="dxa"/>
                  <w:noWrap w:val="0"/>
                  <w:vAlign w:val="top"/>
                </w:tcPr>
                <w:p w14:paraId="5B581163">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【信息同步】</w:t>
                  </w:r>
                </w:p>
              </w:tc>
            </w:tr>
            <w:tr w14:paraId="6B5D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50" w:hRule="atLeast"/>
              </w:trPr>
              <w:tc>
                <w:tcPr>
                  <w:tcW w:w="912" w:type="dxa"/>
                  <w:noWrap w:val="0"/>
                  <w:vAlign w:val="top"/>
                </w:tcPr>
                <w:p w14:paraId="61B7D912">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清结算</w:t>
                  </w:r>
                </w:p>
                <w:p w14:paraId="14A94EB8">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手续费支出</w:t>
                  </w:r>
                </w:p>
              </w:tc>
              <w:tc>
                <w:tcPr>
                  <w:tcW w:w="590" w:type="dxa"/>
                  <w:noWrap w:val="0"/>
                  <w:vAlign w:val="top"/>
                </w:tcPr>
                <w:p w14:paraId="359F2430">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202408</w:t>
                  </w:r>
                </w:p>
              </w:tc>
              <w:tc>
                <w:tcPr>
                  <w:tcW w:w="705" w:type="dxa"/>
                  <w:noWrap w:val="0"/>
                  <w:vAlign w:val="top"/>
                </w:tcPr>
                <w:p w14:paraId="652AA2E0">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202410</w:t>
                  </w:r>
                </w:p>
              </w:tc>
              <w:tc>
                <w:tcPr>
                  <w:tcW w:w="541" w:type="dxa"/>
                  <w:noWrap w:val="0"/>
                  <w:vAlign w:val="top"/>
                </w:tcPr>
                <w:p w14:paraId="13A3796C">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证通</w:t>
                  </w:r>
                </w:p>
              </w:tc>
              <w:tc>
                <w:tcPr>
                  <w:tcW w:w="541" w:type="dxa"/>
                  <w:noWrap w:val="0"/>
                  <w:vAlign w:val="top"/>
                </w:tcPr>
                <w:p w14:paraId="565ACE3D">
                  <w:pPr>
                    <w:numPr>
                      <w:ilvl w:val="0"/>
                      <w:numId w:val="0"/>
                    </w:numPr>
                    <w:tabs>
                      <w:tab w:val="left" w:pos="360"/>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全部</w:t>
                  </w:r>
                </w:p>
              </w:tc>
              <w:tc>
                <w:tcPr>
                  <w:tcW w:w="1016" w:type="dxa"/>
                  <w:noWrap w:val="0"/>
                  <w:vAlign w:val="top"/>
                </w:tcPr>
                <w:p w14:paraId="16D6D14F">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4100</w:t>
                  </w:r>
                  <w:r>
                    <w:rPr>
                      <w:rFonts w:hint="default" w:ascii="仿宋" w:hAnsi="仿宋" w:eastAsia="仿宋" w:cs="仿宋"/>
                      <w:b w:val="0"/>
                      <w:bCs w:val="0"/>
                      <w:color w:val="auto"/>
                      <w:sz w:val="16"/>
                      <w:szCs w:val="16"/>
                      <w:vertAlign w:val="baseline"/>
                      <w:lang w:val="en-US" w:eastAsia="zh-CN" w:bidi="ar-SA"/>
                    </w:rPr>
                    <w:t>.00</w:t>
                  </w:r>
                </w:p>
              </w:tc>
              <w:tc>
                <w:tcPr>
                  <w:tcW w:w="1214" w:type="dxa"/>
                  <w:shd w:val="clear" w:color="auto" w:fill="auto"/>
                  <w:noWrap w:val="0"/>
                  <w:vAlign w:val="top"/>
                </w:tcPr>
                <w:p w14:paraId="50B5706C">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24.60</w:t>
                  </w:r>
                </w:p>
              </w:tc>
              <w:tc>
                <w:tcPr>
                  <w:tcW w:w="1131" w:type="dxa"/>
                  <w:shd w:val="clear" w:color="auto" w:fill="auto"/>
                  <w:noWrap w:val="0"/>
                  <w:vAlign w:val="top"/>
                </w:tcPr>
                <w:p w14:paraId="2E5524B1">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4300</w:t>
                  </w:r>
                  <w:r>
                    <w:rPr>
                      <w:rFonts w:hint="default" w:ascii="仿宋" w:hAnsi="仿宋" w:eastAsia="仿宋" w:cs="仿宋"/>
                      <w:b w:val="0"/>
                      <w:bCs w:val="0"/>
                      <w:color w:val="auto"/>
                      <w:sz w:val="16"/>
                      <w:szCs w:val="16"/>
                      <w:vertAlign w:val="baseline"/>
                      <w:lang w:val="en-US" w:eastAsia="zh-CN" w:bidi="ar-SA"/>
                    </w:rPr>
                    <w:t>.00</w:t>
                  </w:r>
                </w:p>
              </w:tc>
              <w:tc>
                <w:tcPr>
                  <w:tcW w:w="1459" w:type="dxa"/>
                  <w:shd w:val="clear" w:color="auto" w:fill="auto"/>
                  <w:noWrap w:val="0"/>
                  <w:vAlign w:val="top"/>
                </w:tcPr>
                <w:p w14:paraId="70D2ADF0">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1459" w:type="dxa"/>
                  <w:shd w:val="clear" w:color="auto" w:fill="auto"/>
                  <w:noWrap w:val="0"/>
                  <w:vAlign w:val="top"/>
                </w:tcPr>
                <w:p w14:paraId="617F0FB7">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人工核实，与开票金额保持一致</w:t>
                  </w:r>
                </w:p>
              </w:tc>
              <w:tc>
                <w:tcPr>
                  <w:tcW w:w="1626" w:type="dxa"/>
                  <w:shd w:val="clear" w:color="auto" w:fill="auto"/>
                  <w:noWrap w:val="0"/>
                  <w:vAlign w:val="top"/>
                </w:tcPr>
                <w:p w14:paraId="7D25F1BC">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【信息同步】</w:t>
                  </w:r>
                </w:p>
              </w:tc>
            </w:tr>
            <w:tr w14:paraId="3451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57" w:hRule="atLeast"/>
              </w:trPr>
              <w:tc>
                <w:tcPr>
                  <w:tcW w:w="912" w:type="dxa"/>
                  <w:noWrap w:val="0"/>
                  <w:vAlign w:val="top"/>
                </w:tcPr>
                <w:p w14:paraId="6E58CBE9">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清结算</w:t>
                  </w:r>
                </w:p>
                <w:p w14:paraId="32253410">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手续费支出</w:t>
                  </w:r>
                </w:p>
              </w:tc>
              <w:tc>
                <w:tcPr>
                  <w:tcW w:w="590" w:type="dxa"/>
                  <w:noWrap w:val="0"/>
                  <w:vAlign w:val="top"/>
                </w:tcPr>
                <w:p w14:paraId="333E986E">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202408</w:t>
                  </w:r>
                </w:p>
              </w:tc>
              <w:tc>
                <w:tcPr>
                  <w:tcW w:w="705" w:type="dxa"/>
                  <w:noWrap w:val="0"/>
                  <w:vAlign w:val="top"/>
                </w:tcPr>
                <w:p w14:paraId="20A68DE3">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202410</w:t>
                  </w:r>
                </w:p>
              </w:tc>
              <w:tc>
                <w:tcPr>
                  <w:tcW w:w="541" w:type="dxa"/>
                  <w:noWrap w:val="0"/>
                  <w:vAlign w:val="top"/>
                </w:tcPr>
                <w:p w14:paraId="46FF79A0">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通联</w:t>
                  </w:r>
                </w:p>
              </w:tc>
              <w:tc>
                <w:tcPr>
                  <w:tcW w:w="541" w:type="dxa"/>
                  <w:noWrap w:val="0"/>
                  <w:vAlign w:val="top"/>
                </w:tcPr>
                <w:p w14:paraId="3A051E9F">
                  <w:pPr>
                    <w:numPr>
                      <w:ilvl w:val="0"/>
                      <w:numId w:val="0"/>
                    </w:numPr>
                    <w:tabs>
                      <w:tab w:val="left" w:pos="360"/>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全部</w:t>
                  </w:r>
                </w:p>
              </w:tc>
              <w:tc>
                <w:tcPr>
                  <w:tcW w:w="1016" w:type="dxa"/>
                  <w:noWrap w:val="0"/>
                  <w:vAlign w:val="top"/>
                </w:tcPr>
                <w:p w14:paraId="7D0D5D5B">
                  <w:pPr>
                    <w:pStyle w:val="11"/>
                    <w:numPr>
                      <w:ilvl w:val="0"/>
                      <w:numId w:val="0"/>
                    </w:numPr>
                    <w:tabs>
                      <w:tab w:val="left" w:pos="779"/>
                      <w:tab w:val="left" w:pos="3295"/>
                      <w:tab w:val="left" w:pos="5860"/>
                    </w:tabs>
                    <w:spacing w:before="120" w:beforeLines="50" w:after="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100</w:t>
                  </w:r>
                  <w:r>
                    <w:rPr>
                      <w:rFonts w:hint="default" w:ascii="仿宋" w:hAnsi="仿宋" w:eastAsia="仿宋" w:cs="仿宋"/>
                      <w:b w:val="0"/>
                      <w:bCs w:val="0"/>
                      <w:color w:val="auto"/>
                      <w:sz w:val="16"/>
                      <w:szCs w:val="16"/>
                      <w:vertAlign w:val="baseline"/>
                      <w:lang w:val="en-US" w:eastAsia="zh-CN" w:bidi="ar-SA"/>
                    </w:rPr>
                    <w:t>.00</w:t>
                  </w:r>
                </w:p>
              </w:tc>
              <w:tc>
                <w:tcPr>
                  <w:tcW w:w="1214" w:type="dxa"/>
                  <w:shd w:val="clear" w:color="auto" w:fill="auto"/>
                  <w:noWrap w:val="0"/>
                  <w:vAlign w:val="top"/>
                </w:tcPr>
                <w:p w14:paraId="5813FFA5">
                  <w:pPr>
                    <w:pStyle w:val="11"/>
                    <w:numPr>
                      <w:ilvl w:val="0"/>
                      <w:numId w:val="0"/>
                    </w:numPr>
                    <w:tabs>
                      <w:tab w:val="left" w:pos="779"/>
                      <w:tab w:val="left" w:pos="3295"/>
                      <w:tab w:val="left" w:pos="5860"/>
                    </w:tabs>
                    <w:spacing w:before="120" w:beforeLines="50" w:after="0"/>
                    <w:ind w:left="0" w:leftChars="0" w:firstLine="0" w:firstLineChars="0"/>
                    <w:rPr>
                      <w:rFonts w:hint="default"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0.60</w:t>
                  </w:r>
                </w:p>
              </w:tc>
              <w:tc>
                <w:tcPr>
                  <w:tcW w:w="1131" w:type="dxa"/>
                  <w:shd w:val="clear" w:color="auto" w:fill="auto"/>
                  <w:noWrap w:val="0"/>
                  <w:vAlign w:val="top"/>
                </w:tcPr>
                <w:p w14:paraId="559911F4">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258</w:t>
                  </w:r>
                  <w:r>
                    <w:rPr>
                      <w:rFonts w:hint="default" w:ascii="仿宋" w:hAnsi="仿宋" w:eastAsia="仿宋" w:cs="仿宋"/>
                      <w:b w:val="0"/>
                      <w:bCs w:val="0"/>
                      <w:color w:val="auto"/>
                      <w:sz w:val="16"/>
                      <w:szCs w:val="16"/>
                      <w:vertAlign w:val="baseline"/>
                      <w:lang w:val="en-US" w:eastAsia="zh-CN" w:bidi="ar-SA"/>
                    </w:rPr>
                    <w:t>0.00</w:t>
                  </w:r>
                </w:p>
              </w:tc>
              <w:tc>
                <w:tcPr>
                  <w:tcW w:w="1459" w:type="dxa"/>
                  <w:shd w:val="clear" w:color="auto" w:fill="auto"/>
                  <w:noWrap w:val="0"/>
                  <w:vAlign w:val="top"/>
                </w:tcPr>
                <w:p w14:paraId="5A742A79">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p>
              </w:tc>
              <w:tc>
                <w:tcPr>
                  <w:tcW w:w="1459" w:type="dxa"/>
                  <w:shd w:val="clear" w:color="auto" w:fill="auto"/>
                  <w:noWrap w:val="0"/>
                  <w:vAlign w:val="top"/>
                </w:tcPr>
                <w:p w14:paraId="4D39E802">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系统生产金额与开票金额保持一致</w:t>
                  </w:r>
                </w:p>
              </w:tc>
              <w:tc>
                <w:tcPr>
                  <w:tcW w:w="1626" w:type="dxa"/>
                  <w:shd w:val="clear" w:color="auto" w:fill="auto"/>
                  <w:noWrap w:val="0"/>
                  <w:vAlign w:val="top"/>
                </w:tcPr>
                <w:p w14:paraId="1973C60F">
                  <w:pPr>
                    <w:pStyle w:val="11"/>
                    <w:numPr>
                      <w:ilvl w:val="0"/>
                      <w:numId w:val="0"/>
                    </w:numPr>
                    <w:tabs>
                      <w:tab w:val="left" w:pos="779"/>
                      <w:tab w:val="left" w:pos="3295"/>
                      <w:tab w:val="left" w:pos="5860"/>
                    </w:tabs>
                    <w:spacing w:before="120" w:beforeLines="50" w:after="0"/>
                    <w:ind w:left="0" w:leftChars="0" w:firstLine="0" w:firstLineChars="0"/>
                    <w:rPr>
                      <w:rFonts w:hint="eastAsia" w:ascii="仿宋" w:hAnsi="仿宋" w:eastAsia="仿宋" w:cs="仿宋"/>
                      <w:b w:val="0"/>
                      <w:bCs w:val="0"/>
                      <w:color w:val="auto"/>
                      <w:sz w:val="16"/>
                      <w:szCs w:val="16"/>
                      <w:vertAlign w:val="baseline"/>
                      <w:lang w:val="en-US" w:eastAsia="zh-CN" w:bidi="ar-SA"/>
                    </w:rPr>
                  </w:pPr>
                  <w:r>
                    <w:rPr>
                      <w:rFonts w:hint="eastAsia" w:ascii="仿宋" w:hAnsi="仿宋" w:eastAsia="仿宋" w:cs="仿宋"/>
                      <w:b w:val="0"/>
                      <w:bCs w:val="0"/>
                      <w:color w:val="auto"/>
                      <w:sz w:val="16"/>
                      <w:szCs w:val="16"/>
                      <w:vertAlign w:val="baseline"/>
                      <w:lang w:val="en-US" w:eastAsia="zh-CN" w:bidi="ar-SA"/>
                    </w:rPr>
                    <w:t>【信息同步】</w:t>
                  </w:r>
                </w:p>
              </w:tc>
            </w:tr>
          </w:tbl>
          <w:p w14:paraId="5134D2D2">
            <w:pPr>
              <w:numPr>
                <w:ilvl w:val="0"/>
                <w:numId w:val="0"/>
              </w:numPr>
              <w:spacing w:line="360" w:lineRule="auto"/>
              <w:rPr>
                <w:rFonts w:hint="default" w:ascii="微软雅黑 Light" w:hAnsi="微软雅黑 Light" w:eastAsia="微软雅黑 Light" w:cs="微软雅黑 Light"/>
                <w:kern w:val="0"/>
                <w:sz w:val="22"/>
                <w:lang w:val="en-US" w:eastAsia="zh-CN" w:bidi="ar-SA"/>
              </w:rPr>
            </w:pPr>
          </w:p>
          <w:p w14:paraId="32185489">
            <w:pPr>
              <w:pStyle w:val="3"/>
              <w:keepNext w:val="0"/>
              <w:keepLines w:val="0"/>
              <w:widowControl/>
              <w:numPr>
                <w:ilvl w:val="1"/>
                <w:numId w:val="0"/>
              </w:numPr>
              <w:suppressLineNumbers w:val="0"/>
              <w:ind w:leftChars="0"/>
              <w:jc w:val="both"/>
              <w:rPr>
                <w:rFonts w:ascii="PingFang SC" w:hAnsi="PingFang SC" w:eastAsia="PingFang SC" w:cs="PingFang SC"/>
                <w:i w:val="0"/>
                <w:iCs w:val="0"/>
                <w:caps w:val="0"/>
                <w:color w:val="000000"/>
                <w:spacing w:val="0"/>
              </w:rPr>
            </w:pPr>
            <w:r>
              <w:rPr>
                <w:rFonts w:hint="eastAsia" w:ascii="PingFang SC" w:hAnsi="PingFang SC" w:eastAsia="PingFang SC" w:cs="PingFang SC"/>
                <w:i w:val="0"/>
                <w:iCs w:val="0"/>
                <w:caps w:val="0"/>
                <w:color w:val="000000"/>
                <w:spacing w:val="0"/>
              </w:rPr>
              <w:br w:type="textWrapping"/>
            </w:r>
            <w:r>
              <w:rPr>
                <w:rFonts w:hint="eastAsia" w:ascii="PingFang SC" w:hAnsi="PingFang SC" w:eastAsia="PingFang SC" w:cs="PingFang SC"/>
                <w:i w:val="0"/>
                <w:iCs w:val="0"/>
                <w:caps w:val="0"/>
                <w:color w:val="000000"/>
                <w:spacing w:val="0"/>
              </w:rPr>
              <w:t>    </w:t>
            </w:r>
            <w:r>
              <w:rPr>
                <w:rFonts w:hint="default" w:ascii="Times New Roman" w:hAnsi="Times New Roman" w:eastAsia="PingFang SC" w:cs="Times New Roman"/>
                <w:b/>
                <w:bCs/>
                <w:i w:val="0"/>
                <w:iCs w:val="0"/>
                <w:caps w:val="0"/>
                <w:color w:val="000000"/>
                <w:spacing w:val="0"/>
                <w:sz w:val="27"/>
                <w:szCs w:val="27"/>
              </w:rPr>
              <w:t>3.2.1</w:t>
            </w:r>
            <w:r>
              <w:rPr>
                <w:rFonts w:hint="eastAsia" w:ascii="宋体" w:hAnsi="宋体" w:eastAsia="宋体" w:cs="宋体"/>
                <w:b/>
                <w:bCs/>
                <w:i w:val="0"/>
                <w:iCs w:val="0"/>
                <w:caps w:val="0"/>
                <w:color w:val="FF0000"/>
                <w:spacing w:val="0"/>
                <w:sz w:val="27"/>
                <w:szCs w:val="27"/>
              </w:rPr>
              <w:t>网联前置系统</w:t>
            </w:r>
            <w:r>
              <w:rPr>
                <w:rFonts w:hint="eastAsia" w:ascii="宋体" w:hAnsi="宋体" w:eastAsia="宋体" w:cs="宋体"/>
                <w:b/>
                <w:bCs/>
                <w:i w:val="0"/>
                <w:iCs w:val="0"/>
                <w:caps w:val="0"/>
                <w:color w:val="000000"/>
                <w:spacing w:val="0"/>
                <w:sz w:val="27"/>
                <w:szCs w:val="27"/>
              </w:rPr>
              <w:t>计费配合新核心优化需求</w:t>
            </w:r>
          </w:p>
          <w:p w14:paraId="108539B8">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确保网联前置计费功能正常。</w:t>
            </w:r>
          </w:p>
          <w:p w14:paraId="17D5DC03">
            <w:pPr>
              <w:keepNext w:val="0"/>
              <w:keepLines w:val="0"/>
              <w:widowControl/>
              <w:numPr>
                <w:ilvl w:val="0"/>
                <w:numId w:val="7"/>
              </w:numPr>
              <w:suppressLineNumbers w:val="0"/>
              <w:spacing w:before="0" w:beforeAutospacing="1" w:after="0" w:afterAutospacing="1"/>
              <w:ind w:left="720" w:hanging="360"/>
            </w:pPr>
            <w:r>
              <w:rPr>
                <w:rFonts w:hint="eastAsia" w:ascii="宋体" w:hAnsi="宋体" w:eastAsia="宋体" w:cs="宋体"/>
                <w:i w:val="0"/>
                <w:iCs w:val="0"/>
                <w:caps w:val="0"/>
                <w:color w:val="000000"/>
                <w:spacing w:val="0"/>
                <w:sz w:val="24"/>
                <w:szCs w:val="24"/>
              </w:rPr>
              <w:t>保持工作日、节假日计费逻辑不变</w:t>
            </w:r>
          </w:p>
          <w:p w14:paraId="3BAA11F7">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default" w:ascii="Times New Roman" w:hAnsi="Times New Roman" w:eastAsia="PingFang SC" w:cs="Times New Roman"/>
                <w:i w:val="0"/>
                <w:iCs w:val="0"/>
                <w:caps w:val="0"/>
                <w:color w:val="000000"/>
                <w:spacing w:val="0"/>
                <w:sz w:val="24"/>
                <w:szCs w:val="24"/>
              </w:rPr>
              <w:t>2</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0120</w:t>
            </w:r>
            <w:r>
              <w:rPr>
                <w:rFonts w:hint="eastAsia" w:ascii="宋体" w:hAnsi="宋体" w:eastAsia="宋体" w:cs="宋体"/>
                <w:i w:val="0"/>
                <w:iCs w:val="0"/>
                <w:caps w:val="0"/>
                <w:color w:val="000000"/>
                <w:spacing w:val="0"/>
                <w:sz w:val="24"/>
                <w:szCs w:val="24"/>
              </w:rPr>
              <w:t>网联付款、</w:t>
            </w:r>
            <w:r>
              <w:rPr>
                <w:rFonts w:hint="default" w:ascii="Times New Roman" w:hAnsi="Times New Roman" w:eastAsia="PingFang SC" w:cs="Times New Roman"/>
                <w:i w:val="0"/>
                <w:iCs w:val="0"/>
                <w:caps w:val="0"/>
                <w:color w:val="000000"/>
                <w:spacing w:val="0"/>
                <w:sz w:val="24"/>
                <w:szCs w:val="24"/>
              </w:rPr>
              <w:t>0110</w:t>
            </w:r>
            <w:r>
              <w:rPr>
                <w:rFonts w:hint="eastAsia" w:ascii="宋体" w:hAnsi="宋体" w:eastAsia="宋体" w:cs="宋体"/>
                <w:i w:val="0"/>
                <w:iCs w:val="0"/>
                <w:caps w:val="0"/>
                <w:color w:val="000000"/>
                <w:spacing w:val="0"/>
                <w:sz w:val="24"/>
                <w:szCs w:val="24"/>
              </w:rPr>
              <w:t>对公快捷、</w:t>
            </w:r>
            <w:r>
              <w:rPr>
                <w:rFonts w:hint="default" w:ascii="Times New Roman" w:hAnsi="Times New Roman" w:eastAsia="PingFang SC" w:cs="Times New Roman"/>
                <w:i w:val="0"/>
                <w:iCs w:val="0"/>
                <w:caps w:val="0"/>
                <w:color w:val="000000"/>
                <w:spacing w:val="0"/>
                <w:sz w:val="24"/>
                <w:szCs w:val="24"/>
              </w:rPr>
              <w:t>0114</w:t>
            </w:r>
            <w:r>
              <w:rPr>
                <w:rFonts w:hint="eastAsia" w:ascii="宋体" w:hAnsi="宋体" w:eastAsia="宋体" w:cs="宋体"/>
                <w:i w:val="0"/>
                <w:iCs w:val="0"/>
                <w:caps w:val="0"/>
                <w:color w:val="000000"/>
                <w:spacing w:val="0"/>
                <w:sz w:val="24"/>
                <w:szCs w:val="24"/>
              </w:rPr>
              <w:t>网联商委，需正常计费</w:t>
            </w:r>
          </w:p>
          <w:p w14:paraId="377BE46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default" w:ascii="Times New Roman" w:hAnsi="Times New Roman" w:eastAsia="PingFang SC" w:cs="Times New Roman"/>
                <w:i w:val="0"/>
                <w:iCs w:val="0"/>
                <w:caps w:val="0"/>
                <w:color w:val="FF0000"/>
                <w:spacing w:val="0"/>
                <w:sz w:val="24"/>
                <w:szCs w:val="24"/>
              </w:rPr>
              <w:t>3</w:t>
            </w:r>
            <w:r>
              <w:rPr>
                <w:rFonts w:hint="eastAsia" w:ascii="宋体" w:hAnsi="宋体" w:eastAsia="宋体" w:cs="宋体"/>
                <w:i w:val="0"/>
                <w:iCs w:val="0"/>
                <w:caps w:val="0"/>
                <w:color w:val="FF0000"/>
                <w:spacing w:val="0"/>
                <w:sz w:val="24"/>
                <w:szCs w:val="24"/>
              </w:rPr>
              <w:t>、以上交易计费，需支持配置业务种类，按不同商户，不同业务种类计费。未配置费率的不计费。</w:t>
            </w:r>
          </w:p>
          <w:p w14:paraId="478C761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default" w:ascii="Times New Roman" w:hAnsi="Times New Roman" w:eastAsia="PingFang SC" w:cs="Times New Roman"/>
                <w:i w:val="0"/>
                <w:iCs w:val="0"/>
                <w:caps w:val="0"/>
                <w:color w:val="000000"/>
                <w:spacing w:val="0"/>
                <w:sz w:val="24"/>
                <w:szCs w:val="24"/>
              </w:rPr>
              <w:t>4</w:t>
            </w:r>
            <w:r>
              <w:rPr>
                <w:rFonts w:hint="eastAsia" w:ascii="宋体" w:hAnsi="宋体" w:eastAsia="宋体" w:cs="宋体"/>
                <w:i w:val="0"/>
                <w:iCs w:val="0"/>
                <w:caps w:val="0"/>
                <w:color w:val="000000"/>
                <w:spacing w:val="0"/>
                <w:sz w:val="24"/>
                <w:szCs w:val="24"/>
              </w:rPr>
              <w:t>、保持管理台配置和每日、每月报表不变</w:t>
            </w:r>
          </w:p>
          <w:p w14:paraId="51DBFA25">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default" w:ascii="Times New Roman" w:hAnsi="Times New Roman" w:eastAsia="PingFang SC" w:cs="Times New Roman"/>
                <w:i w:val="0"/>
                <w:iCs w:val="0"/>
                <w:caps w:val="0"/>
                <w:color w:val="000000"/>
                <w:spacing w:val="0"/>
                <w:sz w:val="24"/>
                <w:szCs w:val="24"/>
              </w:rPr>
              <w:t>5</w:t>
            </w:r>
            <w:r>
              <w:rPr>
                <w:rFonts w:hint="eastAsia" w:ascii="宋体" w:hAnsi="宋体" w:eastAsia="宋体" w:cs="宋体"/>
                <w:i w:val="0"/>
                <w:iCs w:val="0"/>
                <w:caps w:val="0"/>
                <w:color w:val="000000"/>
                <w:spacing w:val="0"/>
                <w:sz w:val="24"/>
                <w:szCs w:val="24"/>
              </w:rPr>
              <w:t>、以下是原需求逻辑：网联前置每日日终定时任务，每天一个商户层级账号一行记录。记录对公快捷支付服务通道授权进行代扣的商户账户的交易量数值和应计服务费金额。</w:t>
            </w:r>
          </w:p>
          <w:p w14:paraId="1A6BA58A">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网联渠道对公快捷每日交易量：若每日日终</w:t>
            </w:r>
            <w:r>
              <w:rPr>
                <w:rFonts w:hint="default" w:ascii="Times New Roman" w:hAnsi="Times New Roman" w:eastAsia="PingFang SC" w:cs="Times New Roman"/>
                <w:i w:val="0"/>
                <w:iCs w:val="0"/>
                <w:caps w:val="0"/>
                <w:color w:val="000000"/>
                <w:spacing w:val="0"/>
                <w:sz w:val="24"/>
                <w:szCs w:val="24"/>
              </w:rPr>
              <w:t>0</w:t>
            </w:r>
            <w:r>
              <w:rPr>
                <w:rFonts w:hint="eastAsia" w:ascii="宋体" w:hAnsi="宋体" w:eastAsia="宋体" w:cs="宋体"/>
                <w:i w:val="0"/>
                <w:iCs w:val="0"/>
                <w:caps w:val="0"/>
                <w:color w:val="000000"/>
                <w:spacing w:val="0"/>
                <w:sz w:val="24"/>
                <w:szCs w:val="24"/>
              </w:rPr>
              <w:t>点后开始跑定时任务，业务日期是跑批日</w:t>
            </w:r>
            <w:r>
              <w:rPr>
                <w:rFonts w:hint="default" w:ascii="Times New Roman" w:hAnsi="Times New Roman" w:eastAsia="PingFang SC" w:cs="Times New Roman"/>
                <w:i w:val="0"/>
                <w:iCs w:val="0"/>
                <w:caps w:val="0"/>
                <w:color w:val="000000"/>
                <w:spacing w:val="0"/>
                <w:sz w:val="24"/>
                <w:szCs w:val="24"/>
              </w:rPr>
              <w:t>-1</w:t>
            </w:r>
            <w:r>
              <w:rPr>
                <w:rFonts w:hint="eastAsia" w:ascii="宋体" w:hAnsi="宋体" w:eastAsia="宋体" w:cs="宋体"/>
                <w:i w:val="0"/>
                <w:iCs w:val="0"/>
                <w:caps w:val="0"/>
                <w:color w:val="000000"/>
                <w:spacing w:val="0"/>
                <w:sz w:val="24"/>
                <w:szCs w:val="24"/>
              </w:rPr>
              <w:t>，系统根据“节假日定义表”和“特殊清算日期配置”判断是否是交易日。</w:t>
            </w:r>
          </w:p>
          <w:p w14:paraId="6B14FB08">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工作日或特殊清算日</w:t>
            </w:r>
            <w:r>
              <w:rPr>
                <w:rFonts w:hint="default" w:ascii="Times New Roman" w:hAnsi="Times New Roman" w:eastAsia="PingFang SC" w:cs="Times New Roman"/>
                <w:i w:val="0"/>
                <w:iCs w:val="0"/>
                <w:caps w:val="0"/>
                <w:color w:val="000000"/>
                <w:spacing w:val="0"/>
                <w:sz w:val="24"/>
                <w:szCs w:val="24"/>
              </w:rPr>
              <w:t>=</w:t>
            </w:r>
            <w:r>
              <w:rPr>
                <w:rFonts w:hint="eastAsia" w:ascii="宋体" w:hAnsi="宋体" w:eastAsia="宋体" w:cs="宋体"/>
                <w:i w:val="0"/>
                <w:iCs w:val="0"/>
                <w:caps w:val="0"/>
                <w:color w:val="000000"/>
                <w:spacing w:val="0"/>
                <w:sz w:val="24"/>
                <w:szCs w:val="24"/>
              </w:rPr>
              <w:t>交易日；节假日且非特殊清算日</w:t>
            </w:r>
            <w:r>
              <w:rPr>
                <w:rFonts w:hint="default" w:ascii="Times New Roman" w:hAnsi="Times New Roman" w:eastAsia="PingFang SC" w:cs="Times New Roman"/>
                <w:i w:val="0"/>
                <w:iCs w:val="0"/>
                <w:caps w:val="0"/>
                <w:color w:val="000000"/>
                <w:spacing w:val="0"/>
                <w:sz w:val="24"/>
                <w:szCs w:val="24"/>
              </w:rPr>
              <w:t>=</w:t>
            </w:r>
            <w:r>
              <w:rPr>
                <w:rFonts w:hint="eastAsia" w:ascii="宋体" w:hAnsi="宋体" w:eastAsia="宋体" w:cs="宋体"/>
                <w:i w:val="0"/>
                <w:iCs w:val="0"/>
                <w:caps w:val="0"/>
                <w:color w:val="000000"/>
                <w:spacing w:val="0"/>
                <w:sz w:val="24"/>
                <w:szCs w:val="24"/>
              </w:rPr>
              <w:t>非交易日。</w:t>
            </w:r>
          </w:p>
          <w:p w14:paraId="4F379E65">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①“业务日期”是交易日：</w:t>
            </w:r>
            <w:r>
              <w:rPr>
                <w:rFonts w:hint="default" w:ascii="Times New Roman" w:hAnsi="Times New Roman" w:eastAsia="PingFang SC" w:cs="Times New Roman"/>
                <w:i w:val="0"/>
                <w:iCs w:val="0"/>
                <w:caps w:val="0"/>
                <w:color w:val="000000"/>
                <w:spacing w:val="0"/>
                <w:sz w:val="24"/>
                <w:szCs w:val="24"/>
              </w:rPr>
              <w:t>15</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00-24</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00</w:t>
            </w:r>
            <w:r>
              <w:rPr>
                <w:rFonts w:hint="eastAsia" w:ascii="宋体" w:hAnsi="宋体" w:eastAsia="宋体" w:cs="宋体"/>
                <w:i w:val="0"/>
                <w:iCs w:val="0"/>
                <w:caps w:val="0"/>
                <w:color w:val="000000"/>
                <w:spacing w:val="0"/>
                <w:sz w:val="24"/>
                <w:szCs w:val="24"/>
              </w:rPr>
              <w:t>期间，商户账户发生交易类型</w:t>
            </w:r>
            <w:r>
              <w:rPr>
                <w:rFonts w:hint="default" w:ascii="Times New Roman" w:hAnsi="Times New Roman" w:eastAsia="PingFang SC" w:cs="Times New Roman"/>
                <w:i w:val="0"/>
                <w:iCs w:val="0"/>
                <w:caps w:val="0"/>
                <w:color w:val="000000"/>
                <w:spacing w:val="0"/>
                <w:sz w:val="24"/>
                <w:szCs w:val="24"/>
              </w:rPr>
              <w:t>0110</w:t>
            </w:r>
            <w:r>
              <w:rPr>
                <w:rFonts w:hint="eastAsia" w:ascii="宋体" w:hAnsi="宋体" w:eastAsia="宋体" w:cs="宋体"/>
                <w:i w:val="0"/>
                <w:iCs w:val="0"/>
                <w:caps w:val="0"/>
                <w:color w:val="000000"/>
                <w:spacing w:val="0"/>
                <w:sz w:val="24"/>
                <w:szCs w:val="24"/>
              </w:rPr>
              <w:t>对公快捷交易，成功的交易流水发生金额（并扣除已冲正部分）；商户账户发生网联付款交易，业务种类“</w:t>
            </w:r>
            <w:r>
              <w:rPr>
                <w:rFonts w:hint="default" w:ascii="Times New Roman" w:hAnsi="Times New Roman" w:eastAsia="PingFang SC" w:cs="Times New Roman"/>
                <w:i w:val="0"/>
                <w:iCs w:val="0"/>
                <w:caps w:val="0"/>
                <w:color w:val="000000"/>
                <w:spacing w:val="0"/>
                <w:sz w:val="24"/>
                <w:szCs w:val="24"/>
              </w:rPr>
              <w:t>140001</w:t>
            </w:r>
            <w:r>
              <w:rPr>
                <w:rFonts w:hint="eastAsia" w:ascii="宋体" w:hAnsi="宋体" w:eastAsia="宋体" w:cs="宋体"/>
                <w:i w:val="0"/>
                <w:iCs w:val="0"/>
                <w:caps w:val="0"/>
                <w:color w:val="000000"/>
                <w:spacing w:val="0"/>
                <w:sz w:val="24"/>
                <w:szCs w:val="24"/>
              </w:rPr>
              <w:t>交易资金结算”成功的交易流水发生金额（并扣除已冲正部分）</w:t>
            </w:r>
          </w:p>
          <w:p w14:paraId="5546A0F4">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②“业务日期”是非交易日：取非交易日向前最近一个交易日，</w:t>
            </w:r>
            <w:r>
              <w:rPr>
                <w:rFonts w:hint="default" w:ascii="Times New Roman" w:hAnsi="Times New Roman" w:eastAsia="PingFang SC" w:cs="Times New Roman"/>
                <w:i w:val="0"/>
                <w:iCs w:val="0"/>
                <w:caps w:val="0"/>
                <w:color w:val="000000"/>
                <w:spacing w:val="0"/>
                <w:sz w:val="24"/>
                <w:szCs w:val="24"/>
              </w:rPr>
              <w:t>15</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00-24</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00</w:t>
            </w:r>
            <w:r>
              <w:rPr>
                <w:rFonts w:hint="eastAsia" w:ascii="宋体" w:hAnsi="宋体" w:eastAsia="宋体" w:cs="宋体"/>
                <w:i w:val="0"/>
                <w:iCs w:val="0"/>
                <w:caps w:val="0"/>
                <w:color w:val="000000"/>
                <w:spacing w:val="0"/>
                <w:sz w:val="24"/>
                <w:szCs w:val="24"/>
              </w:rPr>
              <w:t>期间，商户账户发生交易类型</w:t>
            </w:r>
            <w:r>
              <w:rPr>
                <w:rFonts w:hint="default" w:ascii="Times New Roman" w:hAnsi="Times New Roman" w:eastAsia="PingFang SC" w:cs="Times New Roman"/>
                <w:i w:val="0"/>
                <w:iCs w:val="0"/>
                <w:caps w:val="0"/>
                <w:color w:val="000000"/>
                <w:spacing w:val="0"/>
                <w:sz w:val="24"/>
                <w:szCs w:val="24"/>
              </w:rPr>
              <w:t>0110</w:t>
            </w:r>
            <w:r>
              <w:rPr>
                <w:rFonts w:hint="eastAsia" w:ascii="宋体" w:hAnsi="宋体" w:eastAsia="宋体" w:cs="宋体"/>
                <w:i w:val="0"/>
                <w:iCs w:val="0"/>
                <w:caps w:val="0"/>
                <w:color w:val="000000"/>
                <w:spacing w:val="0"/>
                <w:sz w:val="24"/>
                <w:szCs w:val="24"/>
              </w:rPr>
              <w:t>对公快捷交易，成功的交易流水发生金额（并扣除已冲正部分）；取非交易日向前最近一个交易日，</w:t>
            </w:r>
            <w:r>
              <w:rPr>
                <w:rFonts w:hint="default" w:ascii="Times New Roman" w:hAnsi="Times New Roman" w:eastAsia="PingFang SC" w:cs="Times New Roman"/>
                <w:i w:val="0"/>
                <w:iCs w:val="0"/>
                <w:caps w:val="0"/>
                <w:color w:val="000000"/>
                <w:spacing w:val="0"/>
                <w:sz w:val="24"/>
                <w:szCs w:val="24"/>
              </w:rPr>
              <w:t>15</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00-24</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00</w:t>
            </w:r>
            <w:r>
              <w:rPr>
                <w:rFonts w:hint="eastAsia" w:ascii="宋体" w:hAnsi="宋体" w:eastAsia="宋体" w:cs="宋体"/>
                <w:i w:val="0"/>
                <w:iCs w:val="0"/>
                <w:caps w:val="0"/>
                <w:color w:val="000000"/>
                <w:spacing w:val="0"/>
                <w:sz w:val="24"/>
                <w:szCs w:val="24"/>
              </w:rPr>
              <w:t>期间，商户账户发生网联付款交易，业务种类“</w:t>
            </w:r>
            <w:r>
              <w:rPr>
                <w:rFonts w:hint="default" w:ascii="Times New Roman" w:hAnsi="Times New Roman" w:eastAsia="PingFang SC" w:cs="Times New Roman"/>
                <w:i w:val="0"/>
                <w:iCs w:val="0"/>
                <w:caps w:val="0"/>
                <w:color w:val="000000"/>
                <w:spacing w:val="0"/>
                <w:sz w:val="24"/>
                <w:szCs w:val="24"/>
              </w:rPr>
              <w:t>140001</w:t>
            </w:r>
            <w:r>
              <w:rPr>
                <w:rFonts w:hint="eastAsia" w:ascii="宋体" w:hAnsi="宋体" w:eastAsia="宋体" w:cs="宋体"/>
                <w:i w:val="0"/>
                <w:iCs w:val="0"/>
                <w:caps w:val="0"/>
                <w:color w:val="000000"/>
                <w:spacing w:val="0"/>
                <w:sz w:val="24"/>
                <w:szCs w:val="24"/>
              </w:rPr>
              <w:t>交易资金结算”成功的交易流水发生金额（并扣除已冲正部分）</w:t>
            </w:r>
          </w:p>
          <w:p w14:paraId="3A503D8B">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例如：周五下午</w:t>
            </w:r>
            <w:r>
              <w:rPr>
                <w:rFonts w:hint="default" w:ascii="Times New Roman" w:hAnsi="Times New Roman" w:eastAsia="PingFang SC" w:cs="Times New Roman"/>
                <w:i w:val="0"/>
                <w:iCs w:val="0"/>
                <w:caps w:val="0"/>
                <w:color w:val="000000"/>
                <w:spacing w:val="0"/>
                <w:sz w:val="24"/>
                <w:szCs w:val="24"/>
              </w:rPr>
              <w:t>3</w:t>
            </w:r>
            <w:r>
              <w:rPr>
                <w:rFonts w:hint="eastAsia" w:ascii="宋体" w:hAnsi="宋体" w:eastAsia="宋体" w:cs="宋体"/>
                <w:i w:val="0"/>
                <w:iCs w:val="0"/>
                <w:caps w:val="0"/>
                <w:color w:val="000000"/>
                <w:spacing w:val="0"/>
                <w:sz w:val="24"/>
                <w:szCs w:val="24"/>
              </w:rPr>
              <w:t>点后交易金额</w:t>
            </w:r>
            <w:r>
              <w:rPr>
                <w:rFonts w:hint="default" w:ascii="Times New Roman" w:hAnsi="Times New Roman" w:eastAsia="PingFang SC" w:cs="Times New Roman"/>
                <w:i w:val="0"/>
                <w:iCs w:val="0"/>
                <w:caps w:val="0"/>
                <w:color w:val="000000"/>
                <w:spacing w:val="0"/>
                <w:sz w:val="24"/>
                <w:szCs w:val="24"/>
              </w:rPr>
              <w:t>X</w:t>
            </w:r>
            <w:r>
              <w:rPr>
                <w:rFonts w:hint="eastAsia" w:ascii="宋体" w:hAnsi="宋体" w:eastAsia="宋体" w:cs="宋体"/>
                <w:i w:val="0"/>
                <w:iCs w:val="0"/>
                <w:caps w:val="0"/>
                <w:color w:val="000000"/>
                <w:spacing w:val="0"/>
                <w:sz w:val="24"/>
                <w:szCs w:val="24"/>
              </w:rPr>
              <w:t>，</w:t>
            </w:r>
            <w:r>
              <w:rPr>
                <w:rFonts w:hint="default" w:ascii="Times New Roman" w:hAnsi="Times New Roman" w:eastAsia="PingFang SC" w:cs="Times New Roman"/>
                <w:i w:val="0"/>
                <w:iCs w:val="0"/>
                <w:caps w:val="0"/>
                <w:color w:val="000000"/>
                <w:spacing w:val="0"/>
                <w:sz w:val="24"/>
                <w:szCs w:val="24"/>
              </w:rPr>
              <w:t>0</w:t>
            </w:r>
            <w:r>
              <w:rPr>
                <w:rFonts w:hint="eastAsia" w:ascii="宋体" w:hAnsi="宋体" w:eastAsia="宋体" w:cs="宋体"/>
                <w:i w:val="0"/>
                <w:iCs w:val="0"/>
                <w:caps w:val="0"/>
                <w:color w:val="000000"/>
                <w:spacing w:val="0"/>
                <w:sz w:val="24"/>
                <w:szCs w:val="24"/>
              </w:rPr>
              <w:t>点后日终跑批日是周六，业务日期是跑批日</w:t>
            </w:r>
            <w:r>
              <w:rPr>
                <w:rFonts w:hint="default" w:ascii="Times New Roman" w:hAnsi="Times New Roman" w:eastAsia="PingFang SC" w:cs="Times New Roman"/>
                <w:i w:val="0"/>
                <w:iCs w:val="0"/>
                <w:caps w:val="0"/>
                <w:color w:val="000000"/>
                <w:spacing w:val="0"/>
                <w:sz w:val="24"/>
                <w:szCs w:val="24"/>
              </w:rPr>
              <w:t>-1</w:t>
            </w:r>
            <w:r>
              <w:rPr>
                <w:rFonts w:hint="eastAsia" w:ascii="宋体" w:hAnsi="宋体" w:eastAsia="宋体" w:cs="宋体"/>
                <w:i w:val="0"/>
                <w:iCs w:val="0"/>
                <w:caps w:val="0"/>
                <w:color w:val="000000"/>
                <w:spacing w:val="0"/>
                <w:sz w:val="24"/>
                <w:szCs w:val="24"/>
              </w:rPr>
              <w:t>即周五，周五是交易日，则日周五交易量为</w:t>
            </w:r>
            <w:r>
              <w:rPr>
                <w:rFonts w:hint="default" w:ascii="Times New Roman" w:hAnsi="Times New Roman" w:eastAsia="PingFang SC" w:cs="Times New Roman"/>
                <w:i w:val="0"/>
                <w:iCs w:val="0"/>
                <w:caps w:val="0"/>
                <w:color w:val="000000"/>
                <w:spacing w:val="0"/>
                <w:sz w:val="24"/>
                <w:szCs w:val="24"/>
              </w:rPr>
              <w:t>X</w:t>
            </w:r>
            <w:r>
              <w:rPr>
                <w:rFonts w:hint="eastAsia" w:ascii="宋体" w:hAnsi="宋体" w:eastAsia="宋体" w:cs="宋体"/>
                <w:i w:val="0"/>
                <w:iCs w:val="0"/>
                <w:caps w:val="0"/>
                <w:color w:val="000000"/>
                <w:spacing w:val="0"/>
                <w:sz w:val="24"/>
                <w:szCs w:val="24"/>
              </w:rPr>
              <w:t>。</w:t>
            </w:r>
          </w:p>
          <w:p w14:paraId="1E988FAB">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非交易日无交易，周六无交易，</w:t>
            </w:r>
            <w:r>
              <w:rPr>
                <w:rFonts w:hint="default" w:ascii="Times New Roman" w:hAnsi="Times New Roman" w:eastAsia="PingFang SC" w:cs="Times New Roman"/>
                <w:i w:val="0"/>
                <w:iCs w:val="0"/>
                <w:caps w:val="0"/>
                <w:color w:val="000000"/>
                <w:spacing w:val="0"/>
                <w:sz w:val="24"/>
                <w:szCs w:val="24"/>
              </w:rPr>
              <w:t>0</w:t>
            </w:r>
            <w:r>
              <w:rPr>
                <w:rFonts w:hint="eastAsia" w:ascii="宋体" w:hAnsi="宋体" w:eastAsia="宋体" w:cs="宋体"/>
                <w:i w:val="0"/>
                <w:iCs w:val="0"/>
                <w:caps w:val="0"/>
                <w:color w:val="000000"/>
                <w:spacing w:val="0"/>
                <w:sz w:val="24"/>
                <w:szCs w:val="24"/>
              </w:rPr>
              <w:t>点后日终跑批日是周日，业务日期即周六，周六是非交易日，则取向前最近一个交易日周五的发生额</w:t>
            </w:r>
            <w:r>
              <w:rPr>
                <w:rFonts w:hint="default" w:ascii="Times New Roman" w:hAnsi="Times New Roman" w:eastAsia="PingFang SC" w:cs="Times New Roman"/>
                <w:i w:val="0"/>
                <w:iCs w:val="0"/>
                <w:caps w:val="0"/>
                <w:color w:val="000000"/>
                <w:spacing w:val="0"/>
                <w:sz w:val="24"/>
                <w:szCs w:val="24"/>
              </w:rPr>
              <w:t>X</w:t>
            </w:r>
            <w:r>
              <w:rPr>
                <w:rFonts w:hint="eastAsia" w:ascii="宋体" w:hAnsi="宋体" w:eastAsia="宋体" w:cs="宋体"/>
                <w:i w:val="0"/>
                <w:iCs w:val="0"/>
                <w:caps w:val="0"/>
                <w:color w:val="000000"/>
                <w:spacing w:val="0"/>
                <w:sz w:val="24"/>
                <w:szCs w:val="24"/>
              </w:rPr>
              <w:t>，即周六也是</w:t>
            </w:r>
            <w:r>
              <w:rPr>
                <w:rFonts w:hint="default" w:ascii="Times New Roman" w:hAnsi="Times New Roman" w:eastAsia="PingFang SC" w:cs="Times New Roman"/>
                <w:i w:val="0"/>
                <w:iCs w:val="0"/>
                <w:caps w:val="0"/>
                <w:color w:val="000000"/>
                <w:spacing w:val="0"/>
                <w:sz w:val="24"/>
                <w:szCs w:val="24"/>
              </w:rPr>
              <w:t>X</w:t>
            </w:r>
            <w:r>
              <w:rPr>
                <w:rFonts w:hint="eastAsia" w:ascii="宋体" w:hAnsi="宋体" w:eastAsia="宋体" w:cs="宋体"/>
                <w:i w:val="0"/>
                <w:iCs w:val="0"/>
                <w:caps w:val="0"/>
                <w:color w:val="000000"/>
                <w:spacing w:val="0"/>
                <w:sz w:val="24"/>
                <w:szCs w:val="24"/>
              </w:rPr>
              <w:t>。以此类推，周日也是</w:t>
            </w:r>
            <w:r>
              <w:rPr>
                <w:rFonts w:hint="default" w:ascii="Times New Roman" w:hAnsi="Times New Roman" w:eastAsia="PingFang SC" w:cs="Times New Roman"/>
                <w:i w:val="0"/>
                <w:iCs w:val="0"/>
                <w:caps w:val="0"/>
                <w:color w:val="000000"/>
                <w:spacing w:val="0"/>
                <w:sz w:val="24"/>
                <w:szCs w:val="24"/>
              </w:rPr>
              <w:t>X</w:t>
            </w:r>
            <w:r>
              <w:rPr>
                <w:rFonts w:hint="eastAsia" w:ascii="宋体" w:hAnsi="宋体" w:eastAsia="宋体" w:cs="宋体"/>
                <w:i w:val="0"/>
                <w:iCs w:val="0"/>
                <w:caps w:val="0"/>
                <w:color w:val="000000"/>
                <w:spacing w:val="0"/>
                <w:sz w:val="24"/>
                <w:szCs w:val="24"/>
              </w:rPr>
              <w:t>。</w:t>
            </w:r>
          </w:p>
          <w:p w14:paraId="443EFBA0">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计提金额</w:t>
            </w:r>
            <w:r>
              <w:rPr>
                <w:rFonts w:hint="default" w:ascii="Times New Roman" w:hAnsi="Times New Roman" w:eastAsia="PingFang SC" w:cs="Times New Roman"/>
                <w:i w:val="0"/>
                <w:iCs w:val="0"/>
                <w:caps w:val="0"/>
                <w:color w:val="000000"/>
                <w:spacing w:val="0"/>
                <w:sz w:val="24"/>
                <w:szCs w:val="24"/>
              </w:rPr>
              <w:t> = </w:t>
            </w:r>
            <w:r>
              <w:rPr>
                <w:rFonts w:hint="eastAsia" w:ascii="宋体" w:hAnsi="宋体" w:eastAsia="宋体" w:cs="宋体"/>
                <w:i w:val="0"/>
                <w:iCs w:val="0"/>
                <w:caps w:val="0"/>
                <w:color w:val="000000"/>
                <w:spacing w:val="0"/>
                <w:sz w:val="24"/>
                <w:szCs w:val="24"/>
              </w:rPr>
              <w:t>前日交易量数值</w:t>
            </w:r>
            <w:r>
              <w:rPr>
                <w:rFonts w:hint="default" w:ascii="Times New Roman" w:hAnsi="Times New Roman" w:eastAsia="PingFang SC" w:cs="Times New Roman"/>
                <w:i w:val="0"/>
                <w:iCs w:val="0"/>
                <w:caps w:val="0"/>
                <w:color w:val="000000"/>
                <w:spacing w:val="0"/>
                <w:sz w:val="24"/>
                <w:szCs w:val="24"/>
              </w:rPr>
              <w:t> *</w:t>
            </w:r>
            <w:r>
              <w:rPr>
                <w:rFonts w:hint="eastAsia" w:ascii="宋体" w:hAnsi="宋体" w:eastAsia="宋体" w:cs="宋体"/>
                <w:i w:val="0"/>
                <w:iCs w:val="0"/>
                <w:caps w:val="0"/>
                <w:color w:val="000000"/>
                <w:spacing w:val="0"/>
                <w:sz w:val="24"/>
                <w:szCs w:val="24"/>
              </w:rPr>
              <w:t>信息服务费费率</w:t>
            </w:r>
            <w:r>
              <w:rPr>
                <w:rFonts w:hint="default" w:ascii="Times New Roman" w:hAnsi="Times New Roman" w:eastAsia="PingFang SC" w:cs="Times New Roman"/>
                <w:i w:val="0"/>
                <w:iCs w:val="0"/>
                <w:caps w:val="0"/>
                <w:color w:val="000000"/>
                <w:spacing w:val="0"/>
                <w:sz w:val="24"/>
                <w:szCs w:val="24"/>
              </w:rPr>
              <w:t>%/</w:t>
            </w:r>
            <w:r>
              <w:rPr>
                <w:rFonts w:hint="eastAsia" w:ascii="宋体" w:hAnsi="宋体" w:eastAsia="宋体" w:cs="宋体"/>
                <w:i w:val="0"/>
                <w:iCs w:val="0"/>
                <w:caps w:val="0"/>
                <w:color w:val="000000"/>
                <w:spacing w:val="0"/>
                <w:sz w:val="24"/>
                <w:szCs w:val="24"/>
              </w:rPr>
              <w:t>利率折算天数。</w:t>
            </w:r>
          </w:p>
          <w:p w14:paraId="30DE47E0">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按照商户层级账户，调用核心记账接口，逐个生成计提凭证明细。  </w:t>
            </w:r>
          </w:p>
          <w:p w14:paraId="46FCAEE2">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default" w:ascii="Times New Roman" w:hAnsi="Times New Roman" w:eastAsia="PingFang SC" w:cs="Times New Roman"/>
                <w:i w:val="0"/>
                <w:iCs w:val="0"/>
                <w:caps w:val="0"/>
                <w:color w:val="000000"/>
                <w:spacing w:val="0"/>
                <w:sz w:val="24"/>
                <w:szCs w:val="24"/>
              </w:rPr>
              <w:t>      </w:t>
            </w:r>
            <w:r>
              <w:rPr>
                <w:rFonts w:hint="eastAsia" w:ascii="宋体" w:hAnsi="宋体" w:eastAsia="宋体" w:cs="宋体"/>
                <w:i w:val="0"/>
                <w:iCs w:val="0"/>
                <w:caps w:val="0"/>
                <w:color w:val="000000"/>
                <w:spacing w:val="0"/>
                <w:sz w:val="24"/>
                <w:szCs w:val="24"/>
              </w:rPr>
              <w:t>借：</w:t>
            </w:r>
            <w:r>
              <w:rPr>
                <w:rFonts w:hint="default" w:ascii="Times New Roman" w:hAnsi="Times New Roman" w:eastAsia="PingFang SC" w:cs="Times New Roman"/>
                <w:i w:val="0"/>
                <w:iCs w:val="0"/>
                <w:caps w:val="0"/>
                <w:color w:val="000000"/>
                <w:spacing w:val="0"/>
                <w:sz w:val="24"/>
                <w:szCs w:val="24"/>
              </w:rPr>
              <w:t>6421120101 </w:t>
            </w:r>
            <w:r>
              <w:rPr>
                <w:rFonts w:hint="eastAsia" w:ascii="宋体" w:hAnsi="宋体" w:eastAsia="宋体" w:cs="宋体"/>
                <w:i w:val="0"/>
                <w:iCs w:val="0"/>
                <w:caps w:val="0"/>
                <w:color w:val="000000"/>
                <w:spacing w:val="0"/>
                <w:sz w:val="24"/>
                <w:szCs w:val="24"/>
              </w:rPr>
              <w:t>渠道平台费支出   计提金额（单位元，保留两位）</w:t>
            </w:r>
          </w:p>
          <w:p w14:paraId="425C36BB">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（内部户</w:t>
            </w:r>
            <w:r>
              <w:rPr>
                <w:rFonts w:hint="default" w:ascii="Times New Roman" w:hAnsi="Times New Roman" w:eastAsia="PingFang SC" w:cs="Times New Roman"/>
                <w:i w:val="0"/>
                <w:iCs w:val="0"/>
                <w:caps w:val="0"/>
                <w:color w:val="000000"/>
                <w:spacing w:val="0"/>
                <w:sz w:val="24"/>
                <w:szCs w:val="24"/>
              </w:rPr>
              <w:t>507016421010099015 </w:t>
            </w:r>
            <w:r>
              <w:rPr>
                <w:rFonts w:hint="eastAsia" w:ascii="宋体" w:hAnsi="宋体" w:eastAsia="宋体" w:cs="宋体"/>
                <w:i w:val="0"/>
                <w:iCs w:val="0"/>
                <w:caps w:val="0"/>
                <w:color w:val="000000"/>
                <w:spacing w:val="0"/>
                <w:sz w:val="24"/>
                <w:szCs w:val="24"/>
              </w:rPr>
              <w:t>代收代付业务手续费）</w:t>
            </w:r>
            <w:r>
              <w:rPr>
                <w:rFonts w:hint="eastAsia" w:ascii="宋体" w:hAnsi="宋体" w:eastAsia="宋体" w:cs="宋体"/>
                <w:i w:val="0"/>
                <w:iCs w:val="0"/>
                <w:caps w:val="0"/>
                <w:color w:val="FF0000"/>
                <w:spacing w:val="0"/>
                <w:sz w:val="20"/>
                <w:szCs w:val="20"/>
              </w:rPr>
              <w:t>后续新核心需调用不同的收付费码          </w:t>
            </w:r>
          </w:p>
          <w:p w14:paraId="23108851">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贷：</w:t>
            </w:r>
            <w:r>
              <w:rPr>
                <w:rFonts w:hint="default" w:ascii="Times New Roman" w:hAnsi="Times New Roman" w:eastAsia="PingFang SC" w:cs="Times New Roman"/>
                <w:i w:val="0"/>
                <w:iCs w:val="0"/>
                <w:caps w:val="0"/>
                <w:color w:val="000000"/>
                <w:spacing w:val="0"/>
                <w:sz w:val="24"/>
                <w:szCs w:val="24"/>
              </w:rPr>
              <w:t>2233990101</w:t>
            </w:r>
            <w:r>
              <w:rPr>
                <w:rFonts w:hint="eastAsia" w:ascii="宋体" w:hAnsi="宋体" w:eastAsia="宋体" w:cs="宋体"/>
                <w:i w:val="0"/>
                <w:iCs w:val="0"/>
                <w:caps w:val="0"/>
                <w:color w:val="000000"/>
                <w:spacing w:val="0"/>
                <w:sz w:val="24"/>
                <w:szCs w:val="24"/>
              </w:rPr>
              <w:t>预提费用</w:t>
            </w:r>
            <w:r>
              <w:rPr>
                <w:rFonts w:hint="default" w:ascii="Times New Roman" w:hAnsi="Times New Roman" w:eastAsia="PingFang SC" w:cs="Times New Roman"/>
                <w:i w:val="0"/>
                <w:iCs w:val="0"/>
                <w:caps w:val="0"/>
                <w:color w:val="000000"/>
                <w:spacing w:val="0"/>
                <w:sz w:val="24"/>
                <w:szCs w:val="24"/>
              </w:rPr>
              <w:t>-</w:t>
            </w:r>
            <w:r>
              <w:rPr>
                <w:rFonts w:hint="eastAsia" w:ascii="宋体" w:hAnsi="宋体" w:eastAsia="宋体" w:cs="宋体"/>
                <w:i w:val="0"/>
                <w:iCs w:val="0"/>
                <w:caps w:val="0"/>
                <w:color w:val="000000"/>
                <w:spacing w:val="0"/>
                <w:sz w:val="24"/>
                <w:szCs w:val="24"/>
              </w:rPr>
              <w:t>其他   计提金额               </w:t>
            </w:r>
          </w:p>
          <w:p w14:paraId="49126C8D">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（内部户</w:t>
            </w:r>
            <w:r>
              <w:rPr>
                <w:rFonts w:hint="default" w:ascii="Times New Roman" w:hAnsi="Times New Roman" w:eastAsia="PingFang SC" w:cs="Times New Roman"/>
                <w:i w:val="0"/>
                <w:iCs w:val="0"/>
                <w:caps w:val="0"/>
                <w:color w:val="000000"/>
                <w:spacing w:val="0"/>
                <w:sz w:val="24"/>
                <w:szCs w:val="24"/>
              </w:rPr>
              <w:t>507012233990103219 </w:t>
            </w:r>
            <w:r>
              <w:rPr>
                <w:rFonts w:hint="eastAsia" w:ascii="宋体" w:hAnsi="宋体" w:eastAsia="宋体" w:cs="宋体"/>
                <w:i w:val="0"/>
                <w:iCs w:val="0"/>
                <w:caps w:val="0"/>
                <w:color w:val="000000"/>
                <w:spacing w:val="0"/>
                <w:sz w:val="24"/>
                <w:szCs w:val="24"/>
              </w:rPr>
              <w:t>网联商户费用预提） </w:t>
            </w:r>
            <w:r>
              <w:rPr>
                <w:rFonts w:hint="eastAsia" w:ascii="宋体" w:hAnsi="宋体" w:eastAsia="宋体" w:cs="宋体"/>
                <w:i w:val="0"/>
                <w:iCs w:val="0"/>
                <w:caps w:val="0"/>
                <w:color w:val="FF0000"/>
                <w:spacing w:val="0"/>
                <w:sz w:val="20"/>
                <w:szCs w:val="20"/>
              </w:rPr>
              <w:t>后续新核心需调用不同的收付费码）</w:t>
            </w:r>
          </w:p>
          <w:p w14:paraId="5D3B818D">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提供两个参数维护，维护</w:t>
            </w:r>
            <w:r>
              <w:rPr>
                <w:rFonts w:hint="default" w:ascii="Times New Roman" w:hAnsi="Times New Roman" w:eastAsia="PingFang SC" w:cs="Times New Roman"/>
                <w:i w:val="0"/>
                <w:iCs w:val="0"/>
                <w:caps w:val="0"/>
                <w:color w:val="000000"/>
                <w:spacing w:val="0"/>
                <w:sz w:val="24"/>
                <w:szCs w:val="24"/>
              </w:rPr>
              <w:t>6421</w:t>
            </w:r>
            <w:r>
              <w:rPr>
                <w:rFonts w:hint="eastAsia" w:ascii="宋体" w:hAnsi="宋体" w:eastAsia="宋体" w:cs="宋体"/>
                <w:i w:val="0"/>
                <w:iCs w:val="0"/>
                <w:caps w:val="0"/>
                <w:color w:val="000000"/>
                <w:spacing w:val="0"/>
                <w:sz w:val="24"/>
                <w:szCs w:val="24"/>
              </w:rPr>
              <w:t>科目、</w:t>
            </w:r>
            <w:r>
              <w:rPr>
                <w:rFonts w:hint="default" w:ascii="Times New Roman" w:hAnsi="Times New Roman" w:eastAsia="PingFang SC" w:cs="Times New Roman"/>
                <w:i w:val="0"/>
                <w:iCs w:val="0"/>
                <w:caps w:val="0"/>
                <w:color w:val="000000"/>
                <w:spacing w:val="0"/>
                <w:sz w:val="24"/>
                <w:szCs w:val="24"/>
              </w:rPr>
              <w:t>2233</w:t>
            </w:r>
            <w:r>
              <w:rPr>
                <w:rFonts w:hint="eastAsia" w:ascii="宋体" w:hAnsi="宋体" w:eastAsia="宋体" w:cs="宋体"/>
                <w:i w:val="0"/>
                <w:iCs w:val="0"/>
                <w:caps w:val="0"/>
                <w:color w:val="000000"/>
                <w:spacing w:val="0"/>
                <w:sz w:val="24"/>
                <w:szCs w:val="24"/>
              </w:rPr>
              <w:t>科目对应的记账内部户，用于计费使用。</w:t>
            </w:r>
          </w:p>
          <w:p w14:paraId="0D98877A">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4"/>
                <w:szCs w:val="24"/>
              </w:rPr>
              <w:t>生成凭证时，增加上送摘要：“银网联清算</w:t>
            </w:r>
            <w:r>
              <w:rPr>
                <w:rFonts w:hint="default" w:ascii="Times New Roman" w:hAnsi="Times New Roman" w:eastAsia="PingFang SC" w:cs="Times New Roman"/>
                <w:i w:val="0"/>
                <w:iCs w:val="0"/>
                <w:caps w:val="0"/>
                <w:color w:val="000000"/>
                <w:spacing w:val="0"/>
                <w:sz w:val="24"/>
                <w:szCs w:val="24"/>
              </w:rPr>
              <w:t>-</w:t>
            </w:r>
            <w:r>
              <w:rPr>
                <w:rFonts w:hint="eastAsia" w:ascii="宋体" w:hAnsi="宋体" w:eastAsia="宋体" w:cs="宋体"/>
                <w:i w:val="0"/>
                <w:iCs w:val="0"/>
                <w:caps w:val="0"/>
                <w:color w:val="000000"/>
                <w:spacing w:val="0"/>
                <w:sz w:val="24"/>
                <w:szCs w:val="24"/>
              </w:rPr>
              <w:t>手续费”。</w:t>
            </w:r>
            <w:r>
              <w:rPr>
                <w:rFonts w:hint="eastAsia" w:ascii="PingFang SC" w:hAnsi="PingFang SC" w:eastAsia="PingFang SC" w:cs="PingFang SC"/>
                <w:i w:val="0"/>
                <w:iCs w:val="0"/>
                <w:caps w:val="0"/>
                <w:color w:val="000000"/>
                <w:spacing w:val="0"/>
                <w:sz w:val="27"/>
                <w:szCs w:val="27"/>
              </w:rPr>
              <w:t> </w:t>
            </w:r>
            <w:r>
              <w:rPr>
                <w:rFonts w:hint="eastAsia" w:ascii="PingFang SC" w:hAnsi="PingFang SC" w:eastAsia="PingFang SC" w:cs="PingFang SC"/>
                <w:i w:val="0"/>
                <w:iCs w:val="0"/>
                <w:caps w:val="0"/>
                <w:color w:val="000000"/>
                <w:spacing w:val="0"/>
                <w:sz w:val="27"/>
                <w:szCs w:val="27"/>
              </w:rPr>
              <w:br w:type="textWrapping"/>
            </w:r>
            <w:r>
              <w:rPr>
                <w:rFonts w:hint="eastAsia" w:ascii="PingFang SC" w:hAnsi="PingFang SC" w:eastAsia="PingFang SC" w:cs="PingFang SC"/>
                <w:i w:val="0"/>
                <w:iCs w:val="0"/>
                <w:caps w:val="0"/>
                <w:color w:val="000000"/>
                <w:spacing w:val="0"/>
                <w:sz w:val="27"/>
                <w:szCs w:val="27"/>
              </w:rPr>
              <w:t> </w:t>
            </w:r>
          </w:p>
          <w:p w14:paraId="67A12820">
            <w:pPr>
              <w:pStyle w:val="20"/>
              <w:keepNext w:val="0"/>
              <w:keepLines w:val="0"/>
              <w:widowControl/>
              <w:suppressLineNumbers w:val="0"/>
              <w:ind w:left="0" w:firstLine="0"/>
              <w:rPr>
                <w:rFonts w:hint="eastAsia" w:ascii="PingFang SC" w:hAnsi="PingFang SC" w:eastAsia="PingFang SC" w:cs="PingFang SC"/>
                <w:i w:val="0"/>
                <w:iCs w:val="0"/>
                <w:caps w:val="0"/>
                <w:color w:val="000000"/>
                <w:spacing w:val="0"/>
              </w:rPr>
            </w:pPr>
            <w:r>
              <w:rPr>
                <w:rFonts w:hint="eastAsia" w:ascii="PingFang SC" w:hAnsi="PingFang SC" w:eastAsia="PingFang SC" w:cs="PingFang SC"/>
                <w:i w:val="0"/>
                <w:iCs w:val="0"/>
                <w:caps w:val="0"/>
                <w:color w:val="000000"/>
                <w:spacing w:val="0"/>
                <w:sz w:val="27"/>
                <w:szCs w:val="27"/>
              </w:rPr>
              <w:br w:type="textWrapping"/>
            </w:r>
            <w:r>
              <w:rPr>
                <w:rFonts w:hint="eastAsia" w:ascii="PingFang SC" w:hAnsi="PingFang SC" w:eastAsia="PingFang SC" w:cs="PingFang SC"/>
                <w:i w:val="0"/>
                <w:iCs w:val="0"/>
                <w:caps w:val="0"/>
                <w:color w:val="000000"/>
                <w:spacing w:val="0"/>
                <w:sz w:val="27"/>
                <w:szCs w:val="27"/>
              </w:rPr>
              <w:t> </w:t>
            </w:r>
            <w:r>
              <w:rPr>
                <w:rFonts w:hint="eastAsia" w:ascii="PingFang SC" w:hAnsi="PingFang SC" w:eastAsia="PingFang SC" w:cs="PingFang SC"/>
                <w:i w:val="0"/>
                <w:iCs w:val="0"/>
                <w:caps w:val="0"/>
                <w:color w:val="000000"/>
                <w:spacing w:val="0"/>
              </w:rPr>
              <w:t>  </w:t>
            </w:r>
            <w:r>
              <w:rPr>
                <w:rFonts w:hint="default" w:ascii="Times New Roman" w:hAnsi="Times New Roman" w:eastAsia="PingFang SC" w:cs="Times New Roman"/>
                <w:b/>
                <w:bCs/>
                <w:i w:val="0"/>
                <w:iCs w:val="0"/>
                <w:caps w:val="0"/>
                <w:color w:val="000000"/>
                <w:spacing w:val="0"/>
                <w:sz w:val="27"/>
                <w:szCs w:val="27"/>
              </w:rPr>
              <w:t>3.2.2</w:t>
            </w:r>
            <w:r>
              <w:rPr>
                <w:rFonts w:hint="eastAsia" w:ascii="宋体" w:hAnsi="宋体" w:eastAsia="宋体" w:cs="宋体"/>
                <w:b/>
                <w:bCs/>
                <w:i w:val="0"/>
                <w:iCs w:val="0"/>
                <w:caps w:val="0"/>
                <w:color w:val="FF0000"/>
                <w:spacing w:val="0"/>
                <w:sz w:val="27"/>
                <w:szCs w:val="27"/>
              </w:rPr>
              <w:t>支付中台</w:t>
            </w:r>
            <w:r>
              <w:rPr>
                <w:rFonts w:hint="eastAsia" w:ascii="宋体" w:hAnsi="宋体" w:eastAsia="宋体" w:cs="宋体"/>
                <w:b/>
                <w:bCs/>
                <w:i w:val="0"/>
                <w:iCs w:val="0"/>
                <w:caps w:val="0"/>
                <w:color w:val="000000"/>
                <w:spacing w:val="0"/>
                <w:sz w:val="27"/>
                <w:szCs w:val="27"/>
              </w:rPr>
              <w:t>云闪付配合新核心优化需求</w:t>
            </w:r>
          </w:p>
          <w:p w14:paraId="745E690D">
            <w:pPr>
              <w:pStyle w:val="4"/>
              <w:keepNext w:val="0"/>
              <w:keepLines w:val="0"/>
              <w:widowControl/>
              <w:numPr>
                <w:ilvl w:val="2"/>
                <w:numId w:val="0"/>
              </w:numPr>
              <w:suppressLineNumbers w:val="0"/>
              <w:ind w:leftChars="0"/>
              <w:jc w:val="both"/>
              <w:rPr>
                <w:rFonts w:hint="eastAsia" w:ascii="PingFang SC" w:hAnsi="PingFang SC" w:eastAsia="PingFang SC" w:cs="PingFang SC"/>
                <w:i w:val="0"/>
                <w:iCs w:val="0"/>
                <w:caps w:val="0"/>
                <w:color w:val="000000"/>
                <w:spacing w:val="0"/>
              </w:rPr>
            </w:pPr>
            <w:r>
              <w:rPr>
                <w:rFonts w:hint="default" w:ascii="Times New Roman" w:hAnsi="Times New Roman" w:eastAsia="PingFang SC" w:cs="Times New Roman"/>
                <w:b/>
                <w:bCs/>
                <w:i w:val="0"/>
                <w:iCs w:val="0"/>
                <w:caps w:val="0"/>
                <w:color w:val="000000"/>
                <w:spacing w:val="0"/>
                <w:sz w:val="27"/>
                <w:szCs w:val="27"/>
              </w:rPr>
              <w:t>2.1</w:t>
            </w:r>
            <w:r>
              <w:rPr>
                <w:rFonts w:hint="eastAsia" w:ascii="宋体" w:hAnsi="宋体" w:eastAsia="宋体" w:cs="宋体"/>
                <w:b/>
                <w:bCs/>
                <w:i w:val="0"/>
                <w:iCs w:val="0"/>
                <w:caps w:val="0"/>
                <w:color w:val="000000"/>
                <w:spacing w:val="0"/>
                <w:sz w:val="27"/>
                <w:szCs w:val="27"/>
              </w:rPr>
              <w:t>功能描述</w:t>
            </w:r>
          </w:p>
          <w:p w14:paraId="4EDD27E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确保云闪付（两方和三方）通道交易、额度管理、失败冲销、销账、计费、监管报送功能正常</w:t>
            </w:r>
          </w:p>
          <w:p w14:paraId="7A11A27C">
            <w:pPr>
              <w:pStyle w:val="4"/>
              <w:keepNext w:val="0"/>
              <w:keepLines w:val="0"/>
              <w:widowControl/>
              <w:numPr>
                <w:ilvl w:val="2"/>
                <w:numId w:val="0"/>
              </w:numPr>
              <w:suppressLineNumbers w:val="0"/>
              <w:ind w:leftChars="0"/>
              <w:jc w:val="both"/>
              <w:rPr>
                <w:rFonts w:hint="eastAsia" w:ascii="PingFang SC" w:hAnsi="PingFang SC" w:eastAsia="PingFang SC" w:cs="PingFang SC"/>
                <w:i w:val="0"/>
                <w:iCs w:val="0"/>
                <w:caps w:val="0"/>
                <w:color w:val="000000"/>
                <w:spacing w:val="0"/>
              </w:rPr>
            </w:pPr>
            <w:r>
              <w:rPr>
                <w:rFonts w:hint="default" w:ascii="Times New Roman" w:hAnsi="Times New Roman" w:eastAsia="PingFang SC" w:cs="Times New Roman"/>
                <w:b/>
                <w:bCs/>
                <w:i w:val="0"/>
                <w:iCs w:val="0"/>
                <w:caps w:val="0"/>
                <w:color w:val="000000"/>
                <w:spacing w:val="0"/>
                <w:sz w:val="27"/>
                <w:szCs w:val="27"/>
              </w:rPr>
              <w:t>2.2</w:t>
            </w:r>
            <w:r>
              <w:rPr>
                <w:rFonts w:hint="eastAsia" w:ascii="宋体" w:hAnsi="宋体" w:eastAsia="宋体" w:cs="宋体"/>
                <w:b/>
                <w:bCs/>
                <w:i w:val="0"/>
                <w:iCs w:val="0"/>
                <w:caps w:val="0"/>
                <w:color w:val="000000"/>
                <w:spacing w:val="0"/>
                <w:sz w:val="27"/>
                <w:szCs w:val="27"/>
              </w:rPr>
              <w:t>业务流程</w:t>
            </w:r>
          </w:p>
          <w:p w14:paraId="57A7FAB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1、微信小程序和手机银行的云闪付两方和三方模式，按照新核心要求，更新应解汇款账户，正确交易记账。</w:t>
            </w:r>
          </w:p>
          <w:p w14:paraId="25607062">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eastAsia" w:ascii="宋体" w:hAnsi="宋体" w:eastAsia="宋体" w:cs="宋体"/>
                <w:i w:val="0"/>
                <w:iCs w:val="0"/>
                <w:caps w:val="0"/>
                <w:color w:val="000000"/>
                <w:spacing w:val="0"/>
                <w:sz w:val="20"/>
                <w:szCs w:val="20"/>
              </w:rPr>
              <w:t>支付中台【ECIS005 提现转账接口】对接银联8.3.1 转账接口，正确记账。</w:t>
            </w:r>
          </w:p>
          <w:p w14:paraId="75C2031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eastAsia" w:ascii="宋体" w:hAnsi="宋体" w:eastAsia="宋体" w:cs="宋体"/>
                <w:i w:val="0"/>
                <w:iCs w:val="0"/>
                <w:caps w:val="0"/>
                <w:color w:val="000000"/>
                <w:spacing w:val="0"/>
                <w:sz w:val="20"/>
                <w:szCs w:val="20"/>
              </w:rPr>
              <w:t>upntAcp.trade.transfer.in：云闪付转账两方模式。</w:t>
            </w:r>
          </w:p>
          <w:p w14:paraId="6165F86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2、通道额度管理。支持所有渠道失败交易冲销头寸。（回归测试）</w:t>
            </w:r>
          </w:p>
          <w:p w14:paraId="7DCC6A0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3、（1）“流水查询-贷记流水”渠道“WX微信银行”，商户“SHRB02100000000309微信银行小程序”转账提现交易。</w:t>
            </w:r>
          </w:p>
          <w:p w14:paraId="4B3CC6E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（2）“流水查询-借记流水”商户M00007204，查询后需包括手机银行和微信小程序渠道交易（回归）</w:t>
            </w:r>
          </w:p>
          <w:p w14:paraId="4338120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eastAsia" w:ascii="宋体" w:hAnsi="宋体" w:eastAsia="宋体" w:cs="宋体"/>
                <w:i w:val="0"/>
                <w:iCs w:val="0"/>
                <w:caps w:val="0"/>
                <w:color w:val="000000"/>
                <w:spacing w:val="0"/>
                <w:sz w:val="20"/>
                <w:szCs w:val="20"/>
              </w:rPr>
              <w:t>1）8点25分每日计费定时任务</w:t>
            </w:r>
          </w:p>
          <w:p w14:paraId="7290031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eastAsia" w:ascii="宋体" w:hAnsi="宋体" w:eastAsia="宋体" w:cs="宋体"/>
                <w:i w:val="0"/>
                <w:iCs w:val="0"/>
                <w:caps w:val="0"/>
                <w:color w:val="000000"/>
                <w:spacing w:val="0"/>
                <w:sz w:val="20"/>
                <w:szCs w:val="20"/>
              </w:rPr>
              <w:t>2）工作日2点早场进晚场交易</w:t>
            </w:r>
          </w:p>
          <w:p w14:paraId="23A38EE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eastAsia" w:ascii="宋体" w:hAnsi="宋体" w:eastAsia="宋体" w:cs="宋体"/>
                <w:i w:val="0"/>
                <w:iCs w:val="0"/>
                <w:caps w:val="0"/>
                <w:color w:val="000000"/>
                <w:spacing w:val="0"/>
                <w:sz w:val="20"/>
                <w:szCs w:val="20"/>
              </w:rPr>
              <w:t>3）8点50自动任务</w:t>
            </w:r>
          </w:p>
          <w:p w14:paraId="2952A732">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PingFang SC" w:hAnsi="PingFang SC" w:eastAsia="PingFang SC" w:cs="PingFang SC"/>
                <w:i w:val="0"/>
                <w:iCs w:val="0"/>
                <w:caps w:val="0"/>
                <w:color w:val="000000"/>
                <w:spacing w:val="0"/>
                <w:sz w:val="27"/>
                <w:szCs w:val="27"/>
              </w:rPr>
              <w:t> </w:t>
            </w:r>
            <w:r>
              <w:rPr>
                <w:rFonts w:hint="eastAsia" w:ascii="宋体" w:hAnsi="宋体" w:eastAsia="宋体" w:cs="宋体"/>
                <w:i w:val="0"/>
                <w:iCs w:val="0"/>
                <w:caps w:val="0"/>
                <w:color w:val="000000"/>
                <w:spacing w:val="0"/>
                <w:sz w:val="20"/>
                <w:szCs w:val="20"/>
              </w:rPr>
              <w:t>（3）“流水查询-借记流水”商户M00007203，查询后需包括手机银行和微信小程序渠道的对账不一致手动任务。银联无我行有/银联有我行无。</w:t>
            </w:r>
          </w:p>
          <w:p w14:paraId="0D9228F7">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4、需完整回归测试交易、对账、清结算、计费、柜面销账和监管数据报送。</w:t>
            </w:r>
          </w:p>
          <w:p w14:paraId="246354EB">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5、“通道管理-通道支持的业务”配置支持的“账户类型”为借记账户、贷记账户。收款方应仅限个人借贷记账户。配置后，收款方为内部账户和对公账户的，不路由到云闪付转账通道。交易类型“代付”。（回归测试）</w:t>
            </w:r>
          </w:p>
          <w:p w14:paraId="3384DAE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6、配置产品（除产品路由管理），通道基础配置中协议签约“是”。代付业务的产品路由管理在动态路由中判断。（测试）</w:t>
            </w:r>
          </w:p>
          <w:p w14:paraId="37C44690">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7、云闪付两方模式通道（手机银行渠道和微信银行渠道）早场交易，0点至9点。开始：0点（包含）  结束：9点（包含）</w:t>
            </w:r>
          </w:p>
          <w:p w14:paraId="3A6A63B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（1）每日0点至9点的云闪付两方模式交易，分录如下：</w:t>
            </w:r>
          </w:p>
          <w:p w14:paraId="5A964462">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借：2011020101 个人活期存款 </w:t>
            </w:r>
          </w:p>
          <w:p w14:paraId="352F07CE">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贷：2011080101应解汇款 (50701)</w:t>
            </w:r>
          </w:p>
          <w:p w14:paraId="2E63E91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w:t>
            </w:r>
            <w:r>
              <w:rPr>
                <w:rFonts w:hint="eastAsia" w:ascii="宋体" w:hAnsi="宋体" w:eastAsia="宋体" w:cs="宋体"/>
                <w:i w:val="0"/>
                <w:iCs w:val="0"/>
                <w:caps w:val="0"/>
                <w:color w:val="FF0000"/>
                <w:spacing w:val="0"/>
                <w:sz w:val="20"/>
                <w:szCs w:val="20"/>
              </w:rPr>
              <w:t>根据新核心要求，新开</w:t>
            </w:r>
          </w:p>
          <w:p w14:paraId="696191D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（2）每日9点至次日0点的云闪付两方模式交易，分录如下：</w:t>
            </w:r>
          </w:p>
          <w:p w14:paraId="289623E7">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借：2011020101 个人活期存款 </w:t>
            </w:r>
          </w:p>
          <w:p w14:paraId="25572D1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贷：2011080101应解汇款 (50701)</w:t>
            </w:r>
          </w:p>
          <w:p w14:paraId="60FEBE6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w:t>
            </w:r>
            <w:r>
              <w:rPr>
                <w:rFonts w:hint="eastAsia" w:ascii="宋体" w:hAnsi="宋体" w:eastAsia="宋体" w:cs="宋体"/>
                <w:i w:val="0"/>
                <w:iCs w:val="0"/>
                <w:caps w:val="0"/>
                <w:color w:val="FF0000"/>
                <w:spacing w:val="0"/>
                <w:sz w:val="20"/>
                <w:szCs w:val="20"/>
              </w:rPr>
              <w:t>根据新核心要求，新开</w:t>
            </w:r>
          </w:p>
          <w:p w14:paraId="147A47E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（3）失败交易（早场和午场）红字冲销，调核心冲销接口</w:t>
            </w:r>
          </w:p>
          <w:p w14:paraId="5E50CA42">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（4）早场与午场交易金额划转</w:t>
            </w:r>
          </w:p>
          <w:p w14:paraId="1AD0CF45">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云闪付两方模式通道，下一工作日2点，将“上一工作日”至“当日”的早场交易成功金额划转进午场交易应解汇款账户。未清算日、节假日不划转</w:t>
            </w:r>
          </w:p>
          <w:p w14:paraId="596BE9A5">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w:t>
            </w:r>
            <w:r>
              <w:rPr>
                <w:rFonts w:hint="eastAsia" w:ascii="宋体" w:hAnsi="宋体" w:eastAsia="宋体" w:cs="宋体"/>
                <w:i w:val="0"/>
                <w:iCs w:val="0"/>
                <w:caps w:val="0"/>
                <w:color w:val="FF0000"/>
                <w:spacing w:val="0"/>
                <w:sz w:val="20"/>
                <w:szCs w:val="20"/>
              </w:rPr>
              <w:t>根据新核心要求，新开</w:t>
            </w:r>
            <w:r>
              <w:rPr>
                <w:rFonts w:hint="eastAsia" w:ascii="宋体" w:hAnsi="宋体" w:eastAsia="宋体" w:cs="宋体"/>
                <w:i w:val="0"/>
                <w:iCs w:val="0"/>
                <w:caps w:val="0"/>
                <w:color w:val="000000"/>
                <w:spacing w:val="0"/>
                <w:sz w:val="20"/>
                <w:szCs w:val="20"/>
              </w:rPr>
              <w:t> （银联待清算款-云闪付转账早场）</w:t>
            </w:r>
          </w:p>
          <w:p w14:paraId="5D37D88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w:t>
            </w:r>
            <w:r>
              <w:rPr>
                <w:rFonts w:hint="eastAsia" w:ascii="宋体" w:hAnsi="宋体" w:eastAsia="宋体" w:cs="宋体"/>
                <w:i w:val="0"/>
                <w:iCs w:val="0"/>
                <w:caps w:val="0"/>
                <w:color w:val="FF0000"/>
                <w:spacing w:val="0"/>
                <w:sz w:val="20"/>
                <w:szCs w:val="20"/>
              </w:rPr>
              <w:t>根据新核心要求，新开</w:t>
            </w:r>
            <w:r>
              <w:rPr>
                <w:rFonts w:hint="eastAsia" w:ascii="宋体" w:hAnsi="宋体" w:eastAsia="宋体" w:cs="宋体"/>
                <w:i w:val="0"/>
                <w:iCs w:val="0"/>
                <w:caps w:val="0"/>
                <w:color w:val="000000"/>
                <w:spacing w:val="0"/>
                <w:sz w:val="20"/>
                <w:szCs w:val="20"/>
              </w:rPr>
              <w:t>（银联待清算款-云闪付转账）</w:t>
            </w:r>
          </w:p>
          <w:p w14:paraId="70A4C74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bookmarkStart w:id="16" w:name="_Toc201835729"/>
            <w:bookmarkEnd w:id="16"/>
            <w:r>
              <w:rPr>
                <w:rFonts w:hint="eastAsia" w:ascii="宋体" w:hAnsi="宋体" w:eastAsia="宋体" w:cs="宋体"/>
                <w:i w:val="0"/>
                <w:iCs w:val="0"/>
                <w:caps w:val="0"/>
                <w:color w:val="000000"/>
                <w:spacing w:val="0"/>
                <w:sz w:val="20"/>
                <w:szCs w:val="20"/>
              </w:rPr>
              <w:t>（5）云闪付两方模式对账、清结算</w:t>
            </w:r>
          </w:p>
          <w:p w14:paraId="435B68A7">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云闪付两方模式（本代他）交易每日8点15分对账，银联对账文件日切时间为23点。</w:t>
            </w:r>
          </w:p>
          <w:p w14:paraId="1DAE2450">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取商户号 343290065000001、商户号 343290065000003的对账明细。</w:t>
            </w:r>
          </w:p>
          <w:p w14:paraId="048A7EC0">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8、销账（两方模式手机银行和微信小程序渠道完整回归）</w:t>
            </w:r>
          </w:p>
          <w:p w14:paraId="372835F7">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周末节假日不销账，仅工作日销账，逻辑不变。</w:t>
            </w:r>
            <w:r>
              <w:rPr>
                <w:rFonts w:hint="eastAsia" w:ascii="PingFang SC" w:hAnsi="PingFang SC" w:eastAsia="PingFang SC" w:cs="PingFang SC"/>
                <w:i w:val="0"/>
                <w:iCs w:val="0"/>
                <w:caps w:val="0"/>
                <w:color w:val="000000"/>
                <w:spacing w:val="0"/>
                <w:sz w:val="27"/>
                <w:szCs w:val="27"/>
              </w:rPr>
              <w:t> </w:t>
            </w:r>
          </w:p>
          <w:p w14:paraId="19C22FC8">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（1）对账相符的，系统自动清分，即上下级行平账的分录自动记账，无需打印记账凭证；</w:t>
            </w:r>
          </w:p>
          <w:p w14:paraId="06F469CC">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删除：“BHDZ05页面，01对账一致相符”页面，仅保留“BHDZ05和BHDZ02页面，对账不符”</w:t>
            </w:r>
          </w:p>
          <w:p w14:paraId="7D4F9B5C">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对0点-23点，和前一日23点-24点的对账一致交易，自动记账如下（在借记流水/商户号M00007204中能查询）：</w:t>
            </w:r>
          </w:p>
          <w:p w14:paraId="774A183C">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1）每个工作日8点50，银联有，我行有，金额一致（自动）：</w:t>
            </w:r>
          </w:p>
          <w:p w14:paraId="4008764B">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借：2011080101应解汇款 (50701)</w:t>
            </w:r>
          </w:p>
          <w:p w14:paraId="640C595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对应账号：507012011080107618银联待清算款-云闪付转账</w:t>
            </w:r>
          </w:p>
          <w:p w14:paraId="3BADCEE8">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贷：3004010101 银联待清算款项（50701）</w:t>
            </w:r>
          </w:p>
          <w:p w14:paraId="2E48479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对应账号(50701)：507013004010006800银联待清算款项</w:t>
            </w:r>
          </w:p>
          <w:p w14:paraId="5698B331">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2）银联有，我行有，金额一致（</w:t>
            </w:r>
            <w:r>
              <w:rPr>
                <w:rFonts w:hint="eastAsia" w:ascii="宋体" w:hAnsi="宋体" w:eastAsia="宋体" w:cs="宋体"/>
                <w:i w:val="0"/>
                <w:iCs w:val="0"/>
                <w:caps w:val="0"/>
                <w:color w:val="FF0000"/>
                <w:spacing w:val="0"/>
                <w:sz w:val="20"/>
                <w:szCs w:val="20"/>
              </w:rPr>
              <w:t>改为自动</w:t>
            </w:r>
            <w:r>
              <w:rPr>
                <w:rFonts w:hint="eastAsia" w:ascii="宋体" w:hAnsi="宋体" w:eastAsia="宋体" w:cs="宋体"/>
                <w:i w:val="0"/>
                <w:iCs w:val="0"/>
                <w:caps w:val="0"/>
                <w:color w:val="000000"/>
                <w:spacing w:val="0"/>
                <w:sz w:val="20"/>
                <w:szCs w:val="20"/>
              </w:rPr>
              <w:t>）：</w:t>
            </w:r>
          </w:p>
          <w:p w14:paraId="33B573EA">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借：3004010101 银联待清算款项（50701，50801）</w:t>
            </w:r>
          </w:p>
          <w:p w14:paraId="4E48570E">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对应账号(50701)：507013004010006800银联待清算款项</w:t>
            </w:r>
          </w:p>
          <w:p w14:paraId="08141531">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贷：3004010101 银联待清算款项（50401）</w:t>
            </w:r>
          </w:p>
          <w:p w14:paraId="57015D8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对应账号：504013004010009103 银联待清算款项</w:t>
            </w:r>
          </w:p>
          <w:p w14:paraId="749790A4">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2）对账不相符的只在柜面销账交易中展示真正发生长短款的业务，进行展示人工操作后转挂账，待查明原因后做处理，具体交易字段要求同目前柜面对账不符字段，因为日切时间差造成的不平，不展示不需要人工操作，直接参与第二日对账；</w:t>
            </w:r>
          </w:p>
          <w:p w14:paraId="60A4341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（3）BHDZ02和BHDZ05页面  “02对账不符”，仅展示“0点-23点和前日23点-24点”真正差错交易，并支持销账。</w:t>
            </w:r>
          </w:p>
          <w:p w14:paraId="0AC16E5D">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“0点-23点和前日23点-24点”真正差错交易“银联有，我行无”或“银联无，我行有”交易，展示在柜面，可手动销账。</w:t>
            </w:r>
          </w:p>
          <w:p w14:paraId="0E97D35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1）每个工作日8点50，银联无，我行有（自动）：“0点-23点和前日23点-24点”真正差错交易</w:t>
            </w:r>
          </w:p>
          <w:p w14:paraId="38122402">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对应账号：507012011080107618银联待清算款-云闪付转账</w:t>
            </w:r>
          </w:p>
          <w:p w14:paraId="190B04CD">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贷：3004010101 银联待清算款项（50701）</w:t>
            </w:r>
          </w:p>
          <w:p w14:paraId="62424FD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对应账号(50701)：507013004010006800银联待清算款项</w:t>
            </w:r>
          </w:p>
          <w:p w14:paraId="4ABF798E">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2）银联有，我行无（手动）：“0点-23点和前日23点-24点”真正差错交易，柜面可查询可以销账</w:t>
            </w:r>
          </w:p>
          <w:p w14:paraId="44F4966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借：3004010101 银联待清算款项（50401） </w:t>
            </w:r>
          </w:p>
          <w:p w14:paraId="6D4C4E51">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对应账号：504013004010089814 银联待清算款项（用于对账不平挂账）</w:t>
            </w:r>
          </w:p>
          <w:p w14:paraId="194B7660">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贷：3004010101 银联待清算款项（50401）</w:t>
            </w:r>
          </w:p>
          <w:p w14:paraId="6A07A30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对应账号：504013004010009103 银联待清算款项</w:t>
            </w:r>
          </w:p>
          <w:p w14:paraId="42A91F1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3）银联无，我行有（手动）：“0点-23点和前日23点-24点”真正差错交易，柜面可查询可以销账</w:t>
            </w:r>
          </w:p>
          <w:p w14:paraId="0DC355E6">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借：3004010101 银联待清算款项（50701）</w:t>
            </w:r>
          </w:p>
          <w:p w14:paraId="14819618">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对应账号(50701)：507013004010006800银联待清算款项</w:t>
            </w:r>
          </w:p>
          <w:p w14:paraId="2AAE6F55">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贷：3004010101 银联待清算款项（50401） </w:t>
            </w:r>
          </w:p>
          <w:p w14:paraId="74008D74">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对应账号：504013004010089814 银联待清算款项（用于对账不平挂账）</w:t>
            </w:r>
          </w:p>
          <w:p w14:paraId="11E80D18">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（4）T日（例如周五、周六、周日）23点-24点，由于日切产生的“银联无，我行有”，T+1日不展示在柜面，不做账务处理。</w:t>
            </w:r>
          </w:p>
          <w:p w14:paraId="2DF9912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T日23点-24点的交易参与T+1日银联对账，核对一致，工作日（清算日）自动记账如下（同第一条前日23点-24点记账）：</w:t>
            </w:r>
          </w:p>
          <w:p w14:paraId="7D7D4600">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1）每个下一工作日（周一）8点50，银联有，我行有，金额一致（自动）：T日（例如周五、周六、周日）23点-24点汇总金额</w:t>
            </w:r>
          </w:p>
          <w:p w14:paraId="408592FC">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借：2011080101应解汇款 (50701)</w:t>
            </w:r>
          </w:p>
          <w:p w14:paraId="591CC321">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对应账号：507012011080107618银联待清算款-云闪付转账</w:t>
            </w:r>
          </w:p>
          <w:p w14:paraId="55490DF2">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贷：3004010101 银联待清算款项（50701）</w:t>
            </w:r>
          </w:p>
          <w:p w14:paraId="2CB368D5">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对应账号(50701)：507013004010006800银联待清算款项</w:t>
            </w:r>
          </w:p>
          <w:p w14:paraId="223A6FCB">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2）（周一）银联有，我行有，金额一致（</w:t>
            </w:r>
            <w:r>
              <w:rPr>
                <w:rFonts w:hint="eastAsia" w:ascii="宋体" w:hAnsi="宋体" w:eastAsia="宋体" w:cs="宋体"/>
                <w:i w:val="0"/>
                <w:iCs w:val="0"/>
                <w:caps w:val="0"/>
                <w:color w:val="FF0000"/>
                <w:spacing w:val="0"/>
                <w:sz w:val="20"/>
                <w:szCs w:val="20"/>
              </w:rPr>
              <w:t>改为自动</w:t>
            </w:r>
            <w:r>
              <w:rPr>
                <w:rFonts w:hint="eastAsia" w:ascii="宋体" w:hAnsi="宋体" w:eastAsia="宋体" w:cs="宋体"/>
                <w:i w:val="0"/>
                <w:iCs w:val="0"/>
                <w:caps w:val="0"/>
                <w:color w:val="000000"/>
                <w:spacing w:val="0"/>
                <w:sz w:val="20"/>
                <w:szCs w:val="20"/>
              </w:rPr>
              <w:t>）：T日（例如周五、周六、周日）23点-24点汇总金额</w:t>
            </w:r>
          </w:p>
          <w:p w14:paraId="0487A101">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借：3004010101 银联待清算款项（50701，50801）</w:t>
            </w:r>
          </w:p>
          <w:p w14:paraId="0FE7534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对应账号(50701)：507013004010006800银联待清算款项</w:t>
            </w:r>
          </w:p>
          <w:p w14:paraId="691768E8">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贷：3004010101 银联待清算款项（50401）</w:t>
            </w:r>
          </w:p>
          <w:p w14:paraId="5BEFB21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对应账号：504013004010009103 银联待清算款项</w:t>
            </w:r>
          </w:p>
          <w:p w14:paraId="2438A1D1">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FF"/>
                <w:spacing w:val="0"/>
                <w:sz w:val="20"/>
                <w:szCs w:val="20"/>
              </w:rPr>
              <w:t>（5）例子</w:t>
            </w:r>
          </w:p>
          <w:p w14:paraId="44DC1FF5">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周一自动：（1）周五、周六、周日0点-23点对账一致交易（应解汇款-待清算，待清算-备付金）共6笔</w:t>
            </w:r>
          </w:p>
          <w:p w14:paraId="67411907">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（2）周四、周五、周六23点-0点对账一致交易（应解汇款-待清算，待清算-备付金）共6笔</w:t>
            </w:r>
          </w:p>
          <w:p w14:paraId="554909C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（3）周日23点-0点，不记账不在柜面展示</w:t>
            </w:r>
          </w:p>
          <w:p w14:paraId="082E3FBB">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（4）若有存疑差错（由于和银联日切时间不一致造成的需排除），需在柜面展示并支持销账。</w:t>
            </w:r>
          </w:p>
          <w:p w14:paraId="1E3E493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bookmarkStart w:id="17" w:name="_Toc517263103"/>
            <w:bookmarkEnd w:id="17"/>
            <w:r>
              <w:rPr>
                <w:rFonts w:hint="eastAsia" w:ascii="宋体" w:hAnsi="宋体" w:eastAsia="宋体" w:cs="宋体"/>
                <w:i w:val="0"/>
                <w:iCs w:val="0"/>
                <w:caps w:val="0"/>
                <w:color w:val="000000"/>
                <w:spacing w:val="0"/>
                <w:sz w:val="20"/>
                <w:szCs w:val="20"/>
              </w:rPr>
              <w:t>9、监管数据报送</w:t>
            </w:r>
          </w:p>
          <w:p w14:paraId="139C7B49">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支付中台每日推送数据中台每日未清算走的云闪付两方模式通道的客户姓名、卡号、金额、清算日期等明细。需回归测试</w:t>
            </w:r>
          </w:p>
          <w:p w14:paraId="65809467">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10、计费分录</w:t>
            </w:r>
          </w:p>
          <w:p w14:paraId="4328945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FF0000"/>
                <w:spacing w:val="0"/>
                <w:sz w:val="20"/>
                <w:szCs w:val="20"/>
              </w:rPr>
              <w:t>两方模式和三方模式产生的费用对账完成后自动入账（目前已支持，后续新核心需调用不同的收付费码）</w:t>
            </w:r>
          </w:p>
          <w:p w14:paraId="58512A03">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借：6421030106银联转接清算费   </w:t>
            </w:r>
          </w:p>
          <w:p w14:paraId="285B9AE5">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对应账号：504016421030014504银联转接清算费（POS）  </w:t>
            </w:r>
          </w:p>
          <w:p w14:paraId="0ECA0ACF">
            <w:pPr>
              <w:pStyle w:val="20"/>
              <w:keepNext w:val="0"/>
              <w:keepLines w:val="0"/>
              <w:widowControl/>
              <w:suppressLineNumbers w:val="0"/>
              <w:ind w:left="0" w:firstLine="0"/>
              <w:jc w:val="both"/>
              <w:rPr>
                <w:rFonts w:hint="eastAsia" w:ascii="PingFang SC" w:hAnsi="PingFang SC" w:eastAsia="PingFang SC" w:cs="PingFang SC"/>
                <w:i w:val="0"/>
                <w:iCs w:val="0"/>
                <w:caps w:val="0"/>
                <w:color w:val="000000"/>
                <w:spacing w:val="0"/>
                <w:sz w:val="27"/>
                <w:szCs w:val="27"/>
              </w:rPr>
            </w:pPr>
            <w:r>
              <w:rPr>
                <w:rFonts w:hint="eastAsia" w:ascii="宋体" w:hAnsi="宋体" w:eastAsia="宋体" w:cs="宋体"/>
                <w:i w:val="0"/>
                <w:iCs w:val="0"/>
                <w:caps w:val="0"/>
                <w:color w:val="000000"/>
                <w:spacing w:val="0"/>
                <w:sz w:val="20"/>
                <w:szCs w:val="20"/>
              </w:rPr>
              <w:t> 贷：3004010101银联待清算款项 </w:t>
            </w:r>
          </w:p>
          <w:p w14:paraId="4EC3BC85">
            <w:pPr>
              <w:pStyle w:val="20"/>
              <w:keepNext w:val="0"/>
              <w:keepLines w:val="0"/>
              <w:widowControl/>
              <w:suppressLineNumbers w:val="0"/>
              <w:ind w:left="0" w:firstLine="0"/>
              <w:jc w:val="both"/>
            </w:pPr>
            <w:r>
              <w:rPr>
                <w:rFonts w:hint="eastAsia" w:ascii="宋体" w:hAnsi="宋体" w:eastAsia="宋体" w:cs="宋体"/>
                <w:i w:val="0"/>
                <w:iCs w:val="0"/>
                <w:caps w:val="0"/>
                <w:color w:val="000000"/>
                <w:spacing w:val="0"/>
                <w:sz w:val="20"/>
                <w:szCs w:val="20"/>
              </w:rPr>
              <w:t>对应账号： 504013004010009103 银联待清算款项</w:t>
            </w:r>
            <w:r>
              <w:rPr>
                <w:rFonts w:hint="eastAsia" w:ascii="PingFang SC" w:hAnsi="PingFang SC" w:eastAsia="PingFang SC" w:cs="PingFang SC"/>
                <w:i w:val="0"/>
                <w:iCs w:val="0"/>
                <w:caps w:val="0"/>
                <w:color w:val="000000"/>
                <w:spacing w:val="0"/>
                <w:sz w:val="27"/>
                <w:szCs w:val="27"/>
              </w:rPr>
              <w:t> </w:t>
            </w:r>
          </w:p>
          <w:p w14:paraId="0AEF109B"/>
          <w:p w14:paraId="3FF4F3A2">
            <w:pPr>
              <w:pStyle w:val="4"/>
              <w:numPr>
                <w:ilvl w:val="0"/>
                <w:numId w:val="0"/>
              </w:numPr>
              <w:ind w:left="720" w:hanging="720"/>
              <w:rPr>
                <w:sz w:val="28"/>
                <w:szCs w:val="28"/>
              </w:rPr>
            </w:pPr>
            <w:bookmarkStart w:id="18" w:name="_Toc13377"/>
            <w:r>
              <w:rPr>
                <w:rFonts w:hint="eastAsia"/>
                <w:sz w:val="28"/>
                <w:szCs w:val="28"/>
              </w:rPr>
              <w:t>3.2.</w:t>
            </w:r>
            <w:r>
              <w:rPr>
                <w:sz w:val="28"/>
                <w:szCs w:val="28"/>
              </w:rPr>
              <w:t>1</w:t>
            </w:r>
            <w:r>
              <w:rPr>
                <w:rFonts w:hint="eastAsia" w:ascii="Cambria" w:hAnsi="Cambria" w:eastAsia="宋体" w:cs="Times New Roman"/>
              </w:rPr>
              <w:t xml:space="preserve"> 核心接口改造内容</w:t>
            </w:r>
            <w:bookmarkEnd w:id="18"/>
          </w:p>
          <w:tbl>
            <w:tblPr>
              <w:tblStyle w:val="24"/>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518"/>
              <w:gridCol w:w="2634"/>
              <w:gridCol w:w="1702"/>
            </w:tblGrid>
            <w:tr w14:paraId="5FBB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shd w:val="clear" w:color="auto" w:fill="BEBEBE"/>
                  <w:noWrap w:val="0"/>
                  <w:vAlign w:val="center"/>
                </w:tcPr>
                <w:p w14:paraId="05709640">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老核心接口</w:t>
                  </w:r>
                </w:p>
              </w:tc>
              <w:tc>
                <w:tcPr>
                  <w:tcW w:w="2518" w:type="dxa"/>
                  <w:shd w:val="clear" w:color="auto" w:fill="BEBEBE"/>
                  <w:noWrap w:val="0"/>
                  <w:vAlign w:val="center"/>
                </w:tcPr>
                <w:p w14:paraId="342B3272">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新核心接口</w:t>
                  </w:r>
                </w:p>
              </w:tc>
              <w:tc>
                <w:tcPr>
                  <w:tcW w:w="2634" w:type="dxa"/>
                  <w:shd w:val="clear" w:color="auto" w:fill="BEBEBE"/>
                  <w:noWrap w:val="0"/>
                  <w:vAlign w:val="top"/>
                </w:tcPr>
                <w:p w14:paraId="769AFDF8">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接口名称</w:t>
                  </w:r>
                </w:p>
              </w:tc>
              <w:tc>
                <w:tcPr>
                  <w:tcW w:w="1702" w:type="dxa"/>
                  <w:shd w:val="clear" w:color="auto" w:fill="BEBEBE"/>
                  <w:noWrap w:val="0"/>
                  <w:vAlign w:val="top"/>
                </w:tcPr>
                <w:p w14:paraId="5DBE6910">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影响功能点</w:t>
                  </w:r>
                </w:p>
              </w:tc>
            </w:tr>
            <w:tr w14:paraId="5261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noWrap w:val="0"/>
                  <w:vAlign w:val="top"/>
                </w:tcPr>
                <w:p w14:paraId="10A4F48D">
                  <w:pPr>
                    <w:pStyle w:val="37"/>
                    <w:spacing w:line="300" w:lineRule="exact"/>
                    <w:ind w:firstLine="0" w:firstLineChars="0"/>
                    <w:jc w:val="center"/>
                    <w:rPr>
                      <w:rFonts w:hint="eastAsia" w:ascii="宋体" w:hAnsi="宋体" w:eastAsia="宋体"/>
                      <w:sz w:val="18"/>
                      <w:szCs w:val="18"/>
                    </w:rPr>
                  </w:pPr>
                </w:p>
              </w:tc>
              <w:tc>
                <w:tcPr>
                  <w:tcW w:w="2518" w:type="dxa"/>
                  <w:noWrap w:val="0"/>
                  <w:vAlign w:val="top"/>
                </w:tcPr>
                <w:p w14:paraId="312EFEBE">
                  <w:pPr>
                    <w:pStyle w:val="37"/>
                    <w:spacing w:line="300" w:lineRule="exact"/>
                    <w:ind w:firstLine="0" w:firstLineChars="0"/>
                    <w:jc w:val="center"/>
                    <w:rPr>
                      <w:rFonts w:hint="eastAsia" w:ascii="宋体" w:hAnsi="宋体" w:eastAsia="宋体"/>
                      <w:sz w:val="18"/>
                      <w:szCs w:val="18"/>
                    </w:rPr>
                  </w:pPr>
                </w:p>
              </w:tc>
              <w:tc>
                <w:tcPr>
                  <w:tcW w:w="2634" w:type="dxa"/>
                  <w:noWrap w:val="0"/>
                  <w:vAlign w:val="top"/>
                </w:tcPr>
                <w:p w14:paraId="67807406">
                  <w:pPr>
                    <w:pStyle w:val="37"/>
                    <w:spacing w:line="300" w:lineRule="exact"/>
                    <w:ind w:firstLine="0" w:firstLineChars="0"/>
                    <w:rPr>
                      <w:rFonts w:hint="eastAsia" w:ascii="宋体" w:hAnsi="宋体" w:eastAsia="宋体"/>
                      <w:sz w:val="18"/>
                      <w:szCs w:val="18"/>
                    </w:rPr>
                  </w:pPr>
                </w:p>
              </w:tc>
              <w:tc>
                <w:tcPr>
                  <w:tcW w:w="1702" w:type="dxa"/>
                  <w:noWrap w:val="0"/>
                  <w:vAlign w:val="top"/>
                </w:tcPr>
                <w:p w14:paraId="3E4CE9E1">
                  <w:pPr>
                    <w:pStyle w:val="37"/>
                    <w:spacing w:line="300" w:lineRule="exact"/>
                    <w:ind w:firstLine="0" w:firstLineChars="0"/>
                    <w:rPr>
                      <w:rFonts w:ascii="等线" w:hAnsi="Calibri" w:eastAsia="等线" w:cs="等线"/>
                      <w:color w:val="000000"/>
                      <w:sz w:val="22"/>
                      <w:szCs w:val="22"/>
                    </w:rPr>
                  </w:pPr>
                </w:p>
              </w:tc>
            </w:tr>
            <w:tr w14:paraId="383C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noWrap w:val="0"/>
                  <w:vAlign w:val="top"/>
                </w:tcPr>
                <w:p w14:paraId="396310C6">
                  <w:pPr>
                    <w:pStyle w:val="37"/>
                    <w:spacing w:line="300" w:lineRule="exact"/>
                    <w:ind w:firstLine="0" w:firstLineChars="0"/>
                    <w:jc w:val="center"/>
                    <w:rPr>
                      <w:rFonts w:hint="eastAsia" w:ascii="宋体" w:hAnsi="宋体" w:eastAsia="宋体" w:cs="等线"/>
                      <w:color w:val="000000"/>
                      <w:sz w:val="18"/>
                      <w:szCs w:val="18"/>
                    </w:rPr>
                  </w:pPr>
                </w:p>
              </w:tc>
              <w:tc>
                <w:tcPr>
                  <w:tcW w:w="2518" w:type="dxa"/>
                  <w:noWrap w:val="0"/>
                  <w:vAlign w:val="top"/>
                </w:tcPr>
                <w:p w14:paraId="6429DC40">
                  <w:pPr>
                    <w:pStyle w:val="37"/>
                    <w:spacing w:line="300" w:lineRule="exact"/>
                    <w:ind w:firstLine="0" w:firstLineChars="0"/>
                    <w:jc w:val="center"/>
                    <w:rPr>
                      <w:rFonts w:hint="eastAsia" w:ascii="宋体" w:hAnsi="宋体" w:eastAsia="宋体" w:cs="等线"/>
                      <w:color w:val="000000"/>
                      <w:sz w:val="18"/>
                      <w:szCs w:val="18"/>
                    </w:rPr>
                  </w:pPr>
                </w:p>
              </w:tc>
              <w:tc>
                <w:tcPr>
                  <w:tcW w:w="2634" w:type="dxa"/>
                  <w:noWrap w:val="0"/>
                  <w:vAlign w:val="top"/>
                </w:tcPr>
                <w:p w14:paraId="1D617BD6">
                  <w:pPr>
                    <w:pStyle w:val="37"/>
                    <w:spacing w:line="300" w:lineRule="exact"/>
                    <w:ind w:firstLine="0" w:firstLineChars="0"/>
                    <w:rPr>
                      <w:rFonts w:hint="eastAsia" w:ascii="宋体" w:hAnsi="宋体" w:eastAsia="宋体" w:cs="等线"/>
                      <w:color w:val="000000"/>
                      <w:sz w:val="18"/>
                      <w:szCs w:val="18"/>
                    </w:rPr>
                  </w:pPr>
                </w:p>
              </w:tc>
              <w:tc>
                <w:tcPr>
                  <w:tcW w:w="1702" w:type="dxa"/>
                  <w:noWrap w:val="0"/>
                  <w:vAlign w:val="top"/>
                </w:tcPr>
                <w:p w14:paraId="1F9A195E">
                  <w:pPr>
                    <w:pStyle w:val="37"/>
                    <w:spacing w:line="300" w:lineRule="exact"/>
                    <w:ind w:firstLine="0" w:firstLineChars="0"/>
                    <w:rPr>
                      <w:rFonts w:ascii="等线" w:hAnsi="Calibri" w:eastAsia="等线" w:cs="等线"/>
                      <w:color w:val="000000"/>
                      <w:sz w:val="22"/>
                      <w:szCs w:val="22"/>
                    </w:rPr>
                  </w:pPr>
                </w:p>
              </w:tc>
            </w:tr>
            <w:tr w14:paraId="2661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noWrap w:val="0"/>
                  <w:vAlign w:val="top"/>
                </w:tcPr>
                <w:p w14:paraId="3134B18E">
                  <w:pPr>
                    <w:pStyle w:val="37"/>
                    <w:spacing w:line="300" w:lineRule="exact"/>
                    <w:ind w:firstLine="0" w:firstLineChars="0"/>
                    <w:jc w:val="center"/>
                    <w:rPr>
                      <w:rFonts w:hint="eastAsia" w:ascii="宋体" w:hAnsi="宋体" w:eastAsia="宋体" w:cs="等线"/>
                      <w:color w:val="000000"/>
                      <w:sz w:val="18"/>
                      <w:szCs w:val="18"/>
                    </w:rPr>
                  </w:pPr>
                </w:p>
              </w:tc>
              <w:tc>
                <w:tcPr>
                  <w:tcW w:w="2518" w:type="dxa"/>
                  <w:noWrap w:val="0"/>
                  <w:vAlign w:val="top"/>
                </w:tcPr>
                <w:p w14:paraId="205DC853">
                  <w:pPr>
                    <w:pStyle w:val="37"/>
                    <w:spacing w:line="300" w:lineRule="exact"/>
                    <w:ind w:firstLine="0" w:firstLineChars="0"/>
                    <w:jc w:val="center"/>
                    <w:rPr>
                      <w:rFonts w:hint="eastAsia" w:ascii="宋体" w:hAnsi="宋体" w:eastAsia="宋体" w:cs="等线"/>
                      <w:color w:val="000000"/>
                      <w:sz w:val="18"/>
                      <w:szCs w:val="18"/>
                    </w:rPr>
                  </w:pPr>
                </w:p>
              </w:tc>
              <w:tc>
                <w:tcPr>
                  <w:tcW w:w="2634" w:type="dxa"/>
                  <w:noWrap w:val="0"/>
                  <w:vAlign w:val="top"/>
                </w:tcPr>
                <w:p w14:paraId="60C1AA8C">
                  <w:pPr>
                    <w:pStyle w:val="37"/>
                    <w:spacing w:line="300" w:lineRule="exact"/>
                    <w:ind w:firstLine="0" w:firstLineChars="0"/>
                    <w:rPr>
                      <w:rFonts w:hint="eastAsia" w:ascii="宋体" w:hAnsi="宋体" w:eastAsia="宋体" w:cs="等线"/>
                      <w:color w:val="000000"/>
                      <w:sz w:val="18"/>
                      <w:szCs w:val="18"/>
                    </w:rPr>
                  </w:pPr>
                </w:p>
              </w:tc>
              <w:tc>
                <w:tcPr>
                  <w:tcW w:w="1702" w:type="dxa"/>
                  <w:noWrap w:val="0"/>
                  <w:vAlign w:val="top"/>
                </w:tcPr>
                <w:p w14:paraId="21786D56">
                  <w:pPr>
                    <w:pStyle w:val="37"/>
                    <w:spacing w:line="300" w:lineRule="exact"/>
                    <w:ind w:firstLine="0" w:firstLineChars="0"/>
                    <w:rPr>
                      <w:rFonts w:ascii="等线" w:hAnsi="Calibri" w:eastAsia="等线" w:cs="等线"/>
                      <w:color w:val="000000"/>
                      <w:sz w:val="22"/>
                      <w:szCs w:val="22"/>
                    </w:rPr>
                  </w:pPr>
                </w:p>
              </w:tc>
            </w:tr>
            <w:tr w14:paraId="0259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noWrap w:val="0"/>
                  <w:vAlign w:val="top"/>
                </w:tcPr>
                <w:p w14:paraId="4054625E">
                  <w:pPr>
                    <w:pStyle w:val="37"/>
                    <w:spacing w:line="300" w:lineRule="exact"/>
                    <w:ind w:firstLine="0" w:firstLineChars="0"/>
                    <w:jc w:val="center"/>
                    <w:rPr>
                      <w:rFonts w:hint="eastAsia" w:ascii="宋体" w:hAnsi="宋体" w:eastAsia="宋体" w:cs="等线"/>
                      <w:color w:val="000000"/>
                      <w:sz w:val="18"/>
                      <w:szCs w:val="18"/>
                    </w:rPr>
                  </w:pPr>
                </w:p>
              </w:tc>
              <w:tc>
                <w:tcPr>
                  <w:tcW w:w="2518" w:type="dxa"/>
                  <w:noWrap w:val="0"/>
                  <w:vAlign w:val="top"/>
                </w:tcPr>
                <w:p w14:paraId="7B3D5FAE">
                  <w:pPr>
                    <w:pStyle w:val="37"/>
                    <w:spacing w:line="300" w:lineRule="exact"/>
                    <w:ind w:firstLine="0" w:firstLineChars="0"/>
                    <w:jc w:val="center"/>
                    <w:rPr>
                      <w:rFonts w:hint="eastAsia" w:ascii="宋体" w:hAnsi="宋体" w:eastAsia="宋体" w:cs="等线"/>
                      <w:color w:val="000000"/>
                      <w:sz w:val="18"/>
                      <w:szCs w:val="18"/>
                    </w:rPr>
                  </w:pPr>
                </w:p>
              </w:tc>
              <w:tc>
                <w:tcPr>
                  <w:tcW w:w="2634" w:type="dxa"/>
                  <w:noWrap w:val="0"/>
                  <w:vAlign w:val="top"/>
                </w:tcPr>
                <w:p w14:paraId="5D56283D">
                  <w:pPr>
                    <w:pStyle w:val="37"/>
                    <w:spacing w:line="300" w:lineRule="exact"/>
                    <w:ind w:firstLine="0" w:firstLineChars="0"/>
                    <w:rPr>
                      <w:rFonts w:hint="eastAsia" w:ascii="宋体" w:hAnsi="宋体" w:eastAsia="宋体" w:cs="等线"/>
                      <w:color w:val="000000"/>
                      <w:sz w:val="18"/>
                      <w:szCs w:val="18"/>
                    </w:rPr>
                  </w:pPr>
                </w:p>
              </w:tc>
              <w:tc>
                <w:tcPr>
                  <w:tcW w:w="1702" w:type="dxa"/>
                  <w:noWrap w:val="0"/>
                  <w:vAlign w:val="top"/>
                </w:tcPr>
                <w:p w14:paraId="35761D7A">
                  <w:pPr>
                    <w:pStyle w:val="37"/>
                    <w:spacing w:line="300" w:lineRule="exact"/>
                    <w:ind w:firstLine="0" w:firstLineChars="0"/>
                    <w:rPr>
                      <w:rFonts w:ascii="等线" w:hAnsi="Calibri" w:eastAsia="等线" w:cs="等线"/>
                      <w:color w:val="000000"/>
                      <w:sz w:val="22"/>
                      <w:szCs w:val="22"/>
                    </w:rPr>
                  </w:pPr>
                </w:p>
              </w:tc>
            </w:tr>
          </w:tbl>
          <w:p w14:paraId="159F26ED">
            <w:pPr>
              <w:pStyle w:val="4"/>
              <w:numPr>
                <w:ilvl w:val="0"/>
                <w:numId w:val="0"/>
              </w:numPr>
              <w:ind w:left="720" w:hanging="720"/>
              <w:rPr>
                <w:rFonts w:hint="eastAsia"/>
                <w:sz w:val="28"/>
                <w:szCs w:val="28"/>
              </w:rPr>
            </w:pPr>
            <w:bookmarkStart w:id="19" w:name="_Toc10092"/>
          </w:p>
          <w:p w14:paraId="2504D0C2">
            <w:pPr>
              <w:pStyle w:val="4"/>
              <w:numPr>
                <w:ilvl w:val="0"/>
                <w:numId w:val="0"/>
              </w:numPr>
              <w:ind w:left="720" w:hanging="720"/>
              <w:rPr>
                <w:rFonts w:hint="eastAsia"/>
                <w:sz w:val="28"/>
                <w:szCs w:val="28"/>
              </w:rPr>
            </w:pPr>
          </w:p>
          <w:p w14:paraId="28B9B79D">
            <w:pPr>
              <w:pStyle w:val="4"/>
              <w:numPr>
                <w:ilvl w:val="0"/>
                <w:numId w:val="0"/>
              </w:numPr>
              <w:ind w:left="720" w:hanging="720"/>
              <w:rPr>
                <w:rFonts w:hint="eastAsia"/>
                <w:sz w:val="28"/>
                <w:szCs w:val="28"/>
              </w:rPr>
            </w:pPr>
          </w:p>
          <w:p w14:paraId="5F3DA0E7">
            <w:pPr>
              <w:pStyle w:val="4"/>
              <w:numPr>
                <w:ilvl w:val="0"/>
                <w:numId w:val="0"/>
              </w:numPr>
              <w:ind w:left="720" w:hanging="720"/>
              <w:rPr>
                <w:rFonts w:hint="eastAsia"/>
                <w:sz w:val="28"/>
                <w:szCs w:val="28"/>
              </w:rPr>
            </w:pPr>
          </w:p>
          <w:p w14:paraId="159E77B1">
            <w:pPr>
              <w:pStyle w:val="4"/>
              <w:numPr>
                <w:ilvl w:val="0"/>
                <w:numId w:val="0"/>
              </w:numPr>
              <w:rPr>
                <w:rFonts w:ascii="Cambria" w:hAnsi="Cambria" w:eastAsia="宋体" w:cs="Times New Roman"/>
              </w:rPr>
            </w:pPr>
            <w:r>
              <w:rPr>
                <w:rFonts w:hint="eastAsia"/>
                <w:sz w:val="28"/>
                <w:szCs w:val="28"/>
              </w:rPr>
              <w:t>3.2.2</w:t>
            </w:r>
            <w:r>
              <w:rPr>
                <w:sz w:val="28"/>
                <w:szCs w:val="28"/>
              </w:rPr>
              <w:t xml:space="preserve"> </w:t>
            </w:r>
            <w:r>
              <w:rPr>
                <w:rFonts w:hint="eastAsia" w:ascii="Cambria" w:hAnsi="Cambria" w:eastAsia="宋体" w:cs="Times New Roman"/>
              </w:rPr>
              <w:t>上游系统接口改造内容</w:t>
            </w:r>
            <w:bookmarkEnd w:id="19"/>
          </w:p>
          <w:tbl>
            <w:tblPr>
              <w:tblStyle w:val="24"/>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518"/>
              <w:gridCol w:w="2634"/>
              <w:gridCol w:w="1702"/>
            </w:tblGrid>
            <w:tr w14:paraId="76F1CA3C">
              <w:tc>
                <w:tcPr>
                  <w:tcW w:w="1668" w:type="dxa"/>
                  <w:shd w:val="clear" w:color="auto" w:fill="BEBEBE"/>
                  <w:noWrap w:val="0"/>
                  <w:vAlign w:val="center"/>
                </w:tcPr>
                <w:p w14:paraId="5C1BDCA2">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原接口</w:t>
                  </w:r>
                </w:p>
              </w:tc>
              <w:tc>
                <w:tcPr>
                  <w:tcW w:w="2518" w:type="dxa"/>
                  <w:shd w:val="clear" w:color="auto" w:fill="BEBEBE"/>
                  <w:noWrap w:val="0"/>
                  <w:vAlign w:val="center"/>
                </w:tcPr>
                <w:p w14:paraId="3D49BEDE">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新接口</w:t>
                  </w:r>
                </w:p>
              </w:tc>
              <w:tc>
                <w:tcPr>
                  <w:tcW w:w="2634" w:type="dxa"/>
                  <w:shd w:val="clear" w:color="auto" w:fill="BEBEBE"/>
                  <w:noWrap w:val="0"/>
                  <w:vAlign w:val="top"/>
                </w:tcPr>
                <w:p w14:paraId="6B93CCE0">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接口名称</w:t>
                  </w:r>
                </w:p>
              </w:tc>
              <w:tc>
                <w:tcPr>
                  <w:tcW w:w="1702" w:type="dxa"/>
                  <w:shd w:val="clear" w:color="auto" w:fill="BEBEBE"/>
                  <w:noWrap w:val="0"/>
                  <w:vAlign w:val="top"/>
                </w:tcPr>
                <w:p w14:paraId="58C9169A">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影响功能点</w:t>
                  </w:r>
                </w:p>
              </w:tc>
            </w:tr>
            <w:tr w14:paraId="7C95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noWrap w:val="0"/>
                  <w:vAlign w:val="top"/>
                </w:tcPr>
                <w:p w14:paraId="00A9655D">
                  <w:pPr>
                    <w:pStyle w:val="37"/>
                    <w:spacing w:line="300" w:lineRule="exact"/>
                    <w:ind w:firstLine="0" w:firstLineChars="0"/>
                    <w:jc w:val="center"/>
                    <w:rPr>
                      <w:rFonts w:hint="eastAsia" w:ascii="宋体" w:hAnsi="宋体" w:eastAsia="宋体"/>
                      <w:sz w:val="18"/>
                      <w:szCs w:val="18"/>
                    </w:rPr>
                  </w:pPr>
                </w:p>
              </w:tc>
              <w:tc>
                <w:tcPr>
                  <w:tcW w:w="2518" w:type="dxa"/>
                  <w:noWrap w:val="0"/>
                  <w:vAlign w:val="top"/>
                </w:tcPr>
                <w:p w14:paraId="4D97E08A">
                  <w:pPr>
                    <w:pStyle w:val="37"/>
                    <w:spacing w:line="300" w:lineRule="exact"/>
                    <w:ind w:firstLine="0" w:firstLineChars="0"/>
                    <w:jc w:val="center"/>
                    <w:rPr>
                      <w:rFonts w:hint="eastAsia" w:ascii="宋体" w:hAnsi="宋体" w:eastAsia="宋体"/>
                      <w:sz w:val="18"/>
                      <w:szCs w:val="18"/>
                      <w:lang w:val="en-US" w:eastAsia="zh-CN"/>
                    </w:rPr>
                  </w:pPr>
                </w:p>
              </w:tc>
              <w:tc>
                <w:tcPr>
                  <w:tcW w:w="2634" w:type="dxa"/>
                  <w:noWrap w:val="0"/>
                  <w:vAlign w:val="top"/>
                </w:tcPr>
                <w:p w14:paraId="241A6FD7">
                  <w:pPr>
                    <w:pStyle w:val="37"/>
                    <w:spacing w:line="300" w:lineRule="exact"/>
                    <w:ind w:firstLine="0" w:firstLineChars="0"/>
                    <w:rPr>
                      <w:rFonts w:hint="default" w:ascii="宋体" w:hAnsi="宋体" w:eastAsia="宋体"/>
                      <w:sz w:val="18"/>
                      <w:szCs w:val="18"/>
                      <w:lang w:val="en-US"/>
                    </w:rPr>
                  </w:pPr>
                  <w:r>
                    <w:rPr>
                      <w:rFonts w:hint="eastAsia" w:ascii="宋体" w:hAnsi="宋体" w:eastAsia="宋体"/>
                      <w:sz w:val="18"/>
                      <w:szCs w:val="18"/>
                      <w:lang w:val="en-US" w:eastAsia="zh-CN"/>
                    </w:rPr>
                    <w:t>综合前端收付费信息接口</w:t>
                  </w:r>
                </w:p>
              </w:tc>
              <w:tc>
                <w:tcPr>
                  <w:tcW w:w="1702" w:type="dxa"/>
                  <w:noWrap w:val="0"/>
                  <w:vAlign w:val="top"/>
                </w:tcPr>
                <w:p w14:paraId="2935F517">
                  <w:pPr>
                    <w:pStyle w:val="37"/>
                    <w:spacing w:line="300" w:lineRule="exact"/>
                    <w:ind w:firstLine="0" w:firstLineChars="0"/>
                    <w:rPr>
                      <w:rFonts w:hint="default" w:ascii="等线" w:hAnsi="Calibri" w:eastAsia="等线" w:cs="等线"/>
                      <w:color w:val="000000"/>
                      <w:sz w:val="22"/>
                      <w:szCs w:val="22"/>
                      <w:lang w:val="en-US" w:eastAsia="zh-CN"/>
                    </w:rPr>
                  </w:pPr>
                  <w:r>
                    <w:rPr>
                      <w:rFonts w:hint="eastAsia" w:ascii="宋体" w:hAnsi="宋体" w:cs="Times New Roman"/>
                      <w:sz w:val="18"/>
                      <w:szCs w:val="18"/>
                      <w:lang w:val="en-US" w:eastAsia="zh-CN"/>
                    </w:rPr>
                    <w:t>支付中台手续费</w:t>
                  </w:r>
                  <w:r>
                    <w:rPr>
                      <w:rFonts w:hint="eastAsia" w:ascii="宋体" w:hAnsi="宋体" w:eastAsia="宋体" w:cs="Times New Roman"/>
                      <w:sz w:val="18"/>
                      <w:szCs w:val="18"/>
                      <w:lang w:val="en-US" w:eastAsia="zh-CN"/>
                    </w:rPr>
                    <w:t>及其他</w:t>
                  </w:r>
                  <w:r>
                    <w:rPr>
                      <w:rFonts w:hint="eastAsia" w:ascii="宋体" w:hAnsi="宋体" w:cs="Times New Roman"/>
                      <w:sz w:val="18"/>
                      <w:szCs w:val="18"/>
                      <w:lang w:val="en-US" w:eastAsia="zh-CN"/>
                    </w:rPr>
                    <w:t>支付中台</w:t>
                  </w:r>
                  <w:r>
                    <w:rPr>
                      <w:rFonts w:hint="eastAsia" w:ascii="宋体" w:hAnsi="宋体" w:eastAsia="宋体" w:cs="Times New Roman"/>
                      <w:sz w:val="18"/>
                      <w:szCs w:val="18"/>
                      <w:lang w:val="en-US" w:eastAsia="zh-CN"/>
                    </w:rPr>
                    <w:t>费用付款流程</w:t>
                  </w:r>
                </w:p>
              </w:tc>
            </w:tr>
            <w:tr w14:paraId="5BC1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noWrap w:val="0"/>
                  <w:vAlign w:val="top"/>
                </w:tcPr>
                <w:p w14:paraId="31708FCD">
                  <w:pPr>
                    <w:pStyle w:val="37"/>
                    <w:spacing w:line="300" w:lineRule="exact"/>
                    <w:ind w:firstLine="0" w:firstLineChars="0"/>
                    <w:jc w:val="center"/>
                    <w:rPr>
                      <w:rFonts w:hint="eastAsia" w:ascii="宋体" w:hAnsi="宋体" w:eastAsia="宋体" w:cs="等线"/>
                      <w:color w:val="000000"/>
                      <w:sz w:val="18"/>
                      <w:szCs w:val="18"/>
                    </w:rPr>
                  </w:pPr>
                </w:p>
              </w:tc>
              <w:tc>
                <w:tcPr>
                  <w:tcW w:w="2518" w:type="dxa"/>
                  <w:noWrap w:val="0"/>
                  <w:vAlign w:val="top"/>
                </w:tcPr>
                <w:p w14:paraId="01AAA8DD">
                  <w:pPr>
                    <w:pStyle w:val="37"/>
                    <w:spacing w:line="300" w:lineRule="exact"/>
                    <w:ind w:firstLine="0" w:firstLineChars="0"/>
                    <w:jc w:val="center"/>
                    <w:rPr>
                      <w:rFonts w:hint="eastAsia" w:ascii="宋体" w:hAnsi="宋体" w:eastAsia="宋体" w:cs="等线"/>
                      <w:color w:val="000000"/>
                      <w:sz w:val="18"/>
                      <w:szCs w:val="18"/>
                    </w:rPr>
                  </w:pPr>
                </w:p>
              </w:tc>
              <w:tc>
                <w:tcPr>
                  <w:tcW w:w="2634" w:type="dxa"/>
                  <w:noWrap w:val="0"/>
                  <w:vAlign w:val="top"/>
                </w:tcPr>
                <w:p w14:paraId="3BA2FDC6">
                  <w:pPr>
                    <w:pStyle w:val="37"/>
                    <w:spacing w:line="300" w:lineRule="exact"/>
                    <w:ind w:firstLine="0" w:firstLineChars="0"/>
                    <w:rPr>
                      <w:rFonts w:hint="default" w:ascii="宋体" w:hAnsi="宋体" w:eastAsia="宋体" w:cs="等线"/>
                      <w:color w:val="000000"/>
                      <w:sz w:val="18"/>
                      <w:szCs w:val="18"/>
                      <w:lang w:val="en-US" w:eastAsia="zh-CN"/>
                    </w:rPr>
                  </w:pPr>
                  <w:r>
                    <w:rPr>
                      <w:rFonts w:hint="eastAsia" w:ascii="宋体" w:hAnsi="宋体" w:cs="等线"/>
                      <w:color w:val="000000"/>
                      <w:sz w:val="18"/>
                      <w:szCs w:val="18"/>
                      <w:lang w:val="en-US" w:eastAsia="zh-CN"/>
                    </w:rPr>
                    <w:t>新核心系统/其他系统提供付款账号查询</w:t>
                  </w:r>
                </w:p>
              </w:tc>
              <w:tc>
                <w:tcPr>
                  <w:tcW w:w="1702" w:type="dxa"/>
                  <w:noWrap w:val="0"/>
                  <w:vAlign w:val="top"/>
                </w:tcPr>
                <w:p w14:paraId="22C212F1">
                  <w:pPr>
                    <w:pStyle w:val="37"/>
                    <w:spacing w:line="300" w:lineRule="exact"/>
                    <w:ind w:firstLine="0" w:firstLineChars="0"/>
                    <w:rPr>
                      <w:rFonts w:hint="default" w:ascii="等线" w:hAnsi="Calibri" w:eastAsia="等线" w:cs="等线"/>
                      <w:color w:val="000000"/>
                      <w:sz w:val="22"/>
                      <w:szCs w:val="22"/>
                      <w:lang w:val="en-US" w:eastAsia="zh-CN"/>
                    </w:rPr>
                  </w:pPr>
                  <w:r>
                    <w:rPr>
                      <w:rFonts w:hint="eastAsia" w:ascii="宋体" w:hAnsi="宋体" w:cs="Times New Roman"/>
                      <w:sz w:val="18"/>
                      <w:szCs w:val="18"/>
                      <w:lang w:val="en-US" w:eastAsia="zh-CN"/>
                    </w:rPr>
                    <w:t>支付中台的手续费规则配置中付款账户和银行支持选择</w:t>
                  </w:r>
                </w:p>
              </w:tc>
            </w:tr>
            <w:tr w14:paraId="1A8B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noWrap w:val="0"/>
                  <w:vAlign w:val="top"/>
                </w:tcPr>
                <w:p w14:paraId="5BF166CF">
                  <w:pPr>
                    <w:pStyle w:val="37"/>
                    <w:spacing w:line="300" w:lineRule="exact"/>
                    <w:ind w:firstLine="0" w:firstLineChars="0"/>
                    <w:jc w:val="center"/>
                    <w:rPr>
                      <w:rFonts w:hint="eastAsia" w:ascii="宋体" w:hAnsi="宋体" w:eastAsia="宋体" w:cs="等线"/>
                      <w:color w:val="000000"/>
                      <w:sz w:val="18"/>
                      <w:szCs w:val="18"/>
                    </w:rPr>
                  </w:pPr>
                </w:p>
              </w:tc>
              <w:tc>
                <w:tcPr>
                  <w:tcW w:w="2518" w:type="dxa"/>
                  <w:noWrap w:val="0"/>
                  <w:vAlign w:val="top"/>
                </w:tcPr>
                <w:p w14:paraId="78D7E385">
                  <w:pPr>
                    <w:pStyle w:val="37"/>
                    <w:spacing w:line="300" w:lineRule="exact"/>
                    <w:ind w:firstLine="0" w:firstLineChars="0"/>
                    <w:jc w:val="center"/>
                    <w:rPr>
                      <w:rFonts w:hint="eastAsia" w:ascii="宋体" w:hAnsi="宋体" w:eastAsia="宋体" w:cs="等线"/>
                      <w:color w:val="000000"/>
                      <w:sz w:val="18"/>
                      <w:szCs w:val="18"/>
                    </w:rPr>
                  </w:pPr>
                </w:p>
              </w:tc>
              <w:tc>
                <w:tcPr>
                  <w:tcW w:w="2634" w:type="dxa"/>
                  <w:noWrap w:val="0"/>
                  <w:vAlign w:val="top"/>
                </w:tcPr>
                <w:p w14:paraId="4D2BB58D">
                  <w:pPr>
                    <w:pStyle w:val="37"/>
                    <w:spacing w:line="300" w:lineRule="exact"/>
                    <w:ind w:firstLine="0" w:firstLineChars="0"/>
                    <w:rPr>
                      <w:rFonts w:hint="eastAsia" w:ascii="宋体" w:hAnsi="宋体" w:eastAsia="宋体" w:cs="等线"/>
                      <w:color w:val="000000"/>
                      <w:sz w:val="18"/>
                      <w:szCs w:val="18"/>
                    </w:rPr>
                  </w:pPr>
                </w:p>
              </w:tc>
              <w:tc>
                <w:tcPr>
                  <w:tcW w:w="1702" w:type="dxa"/>
                  <w:noWrap w:val="0"/>
                  <w:vAlign w:val="top"/>
                </w:tcPr>
                <w:p w14:paraId="71C1291D">
                  <w:pPr>
                    <w:pStyle w:val="37"/>
                    <w:spacing w:line="300" w:lineRule="exact"/>
                    <w:ind w:firstLine="0" w:firstLineChars="0"/>
                    <w:rPr>
                      <w:rFonts w:ascii="等线" w:hAnsi="Calibri" w:eastAsia="等线" w:cs="等线"/>
                      <w:color w:val="000000"/>
                      <w:sz w:val="22"/>
                      <w:szCs w:val="22"/>
                    </w:rPr>
                  </w:pPr>
                </w:p>
              </w:tc>
            </w:tr>
          </w:tbl>
          <w:p w14:paraId="30E68E06">
            <w:pPr>
              <w:pStyle w:val="4"/>
              <w:numPr>
                <w:ilvl w:val="0"/>
                <w:numId w:val="0"/>
              </w:numPr>
              <w:ind w:left="720" w:hanging="720"/>
              <w:rPr>
                <w:rFonts w:hint="eastAsia"/>
                <w:sz w:val="28"/>
                <w:szCs w:val="28"/>
              </w:rPr>
            </w:pPr>
            <w:bookmarkStart w:id="20" w:name="_Toc6464"/>
          </w:p>
          <w:p w14:paraId="436EF2C4">
            <w:pPr>
              <w:pStyle w:val="4"/>
              <w:numPr>
                <w:ilvl w:val="0"/>
                <w:numId w:val="0"/>
              </w:numPr>
              <w:ind w:left="720" w:hanging="720"/>
              <w:rPr>
                <w:rFonts w:hint="eastAsia"/>
                <w:sz w:val="28"/>
                <w:szCs w:val="28"/>
              </w:rPr>
            </w:pPr>
          </w:p>
          <w:p w14:paraId="5D7F20CD">
            <w:pPr>
              <w:pStyle w:val="4"/>
              <w:numPr>
                <w:ilvl w:val="0"/>
                <w:numId w:val="0"/>
              </w:numPr>
              <w:ind w:left="720" w:hanging="720"/>
              <w:rPr>
                <w:rFonts w:hint="eastAsia"/>
                <w:sz w:val="28"/>
                <w:szCs w:val="28"/>
              </w:rPr>
            </w:pPr>
          </w:p>
          <w:p w14:paraId="356154D2">
            <w:pPr>
              <w:pStyle w:val="4"/>
              <w:numPr>
                <w:ilvl w:val="0"/>
                <w:numId w:val="0"/>
              </w:numPr>
              <w:ind w:left="720" w:hanging="720"/>
              <w:rPr>
                <w:rFonts w:hint="eastAsia"/>
                <w:sz w:val="28"/>
                <w:szCs w:val="28"/>
              </w:rPr>
            </w:pPr>
          </w:p>
          <w:p w14:paraId="26BAFCEC">
            <w:pPr>
              <w:pStyle w:val="4"/>
              <w:numPr>
                <w:ilvl w:val="0"/>
                <w:numId w:val="0"/>
              </w:numPr>
              <w:ind w:left="720" w:hanging="720"/>
              <w:rPr>
                <w:rFonts w:hint="eastAsia"/>
                <w:sz w:val="28"/>
                <w:szCs w:val="28"/>
              </w:rPr>
            </w:pPr>
          </w:p>
          <w:p w14:paraId="40496ED1">
            <w:pPr>
              <w:pStyle w:val="4"/>
              <w:numPr>
                <w:ilvl w:val="0"/>
                <w:numId w:val="0"/>
              </w:numPr>
              <w:ind w:left="720" w:hanging="720"/>
              <w:rPr>
                <w:rFonts w:hint="eastAsia"/>
                <w:sz w:val="28"/>
                <w:szCs w:val="28"/>
              </w:rPr>
            </w:pPr>
          </w:p>
          <w:p w14:paraId="0E5A5748">
            <w:pPr>
              <w:pStyle w:val="4"/>
              <w:numPr>
                <w:ilvl w:val="0"/>
                <w:numId w:val="0"/>
              </w:numPr>
              <w:ind w:left="720" w:hanging="720"/>
              <w:rPr>
                <w:rFonts w:ascii="Cambria" w:hAnsi="Cambria" w:eastAsia="宋体" w:cs="Times New Roman"/>
              </w:rPr>
            </w:pPr>
            <w:r>
              <w:rPr>
                <w:rFonts w:hint="eastAsia"/>
                <w:sz w:val="28"/>
                <w:szCs w:val="28"/>
              </w:rPr>
              <w:t>3.2.</w:t>
            </w:r>
            <w:r>
              <w:rPr>
                <w:sz w:val="28"/>
                <w:szCs w:val="28"/>
              </w:rPr>
              <w:t xml:space="preserve">3 </w:t>
            </w:r>
            <w:r>
              <w:rPr>
                <w:rFonts w:hint="eastAsia" w:ascii="Cambria" w:hAnsi="Cambria" w:eastAsia="宋体" w:cs="Times New Roman"/>
              </w:rPr>
              <w:t>公共方案改造内容</w:t>
            </w:r>
            <w:bookmarkEnd w:id="20"/>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7539"/>
            </w:tblGrid>
            <w:tr w14:paraId="557E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3" w:type="pct"/>
                  <w:shd w:val="clear" w:color="auto" w:fill="BEBEBE"/>
                  <w:noWrap w:val="0"/>
                  <w:vAlign w:val="center"/>
                </w:tcPr>
                <w:p w14:paraId="09D832FA">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公共方案</w:t>
                  </w:r>
                </w:p>
              </w:tc>
              <w:tc>
                <w:tcPr>
                  <w:tcW w:w="3756" w:type="pct"/>
                  <w:shd w:val="clear" w:color="auto" w:fill="BEBEBE"/>
                  <w:noWrap w:val="0"/>
                  <w:vAlign w:val="center"/>
                </w:tcPr>
                <w:p w14:paraId="1D8243B7">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受影响</w:t>
                  </w:r>
                  <w:r>
                    <w:rPr>
                      <w:rFonts w:ascii="宋体" w:hAnsi="宋体"/>
                      <w:b/>
                      <w:color w:val="auto"/>
                      <w:sz w:val="20"/>
                      <w:szCs w:val="20"/>
                      <w:lang w:eastAsia="zh-CN"/>
                    </w:rPr>
                    <w:t>系统功能点</w:t>
                  </w:r>
                </w:p>
              </w:tc>
            </w:tr>
            <w:tr w14:paraId="4E74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3" w:type="pct"/>
                  <w:noWrap w:val="0"/>
                  <w:vAlign w:val="center"/>
                </w:tcPr>
                <w:p w14:paraId="253EE349">
                  <w:pPr>
                    <w:widowControl/>
                    <w:jc w:val="left"/>
                    <w:textAlignment w:val="center"/>
                    <w:rPr>
                      <w:rFonts w:hint="eastAsia" w:ascii="宋体" w:hAnsi="宋体" w:cs="宋体"/>
                      <w:sz w:val="18"/>
                      <w:szCs w:val="18"/>
                    </w:rPr>
                  </w:pPr>
                </w:p>
              </w:tc>
              <w:tc>
                <w:tcPr>
                  <w:tcW w:w="3756" w:type="pct"/>
                  <w:noWrap w:val="0"/>
                  <w:vAlign w:val="center"/>
                </w:tcPr>
                <w:p w14:paraId="707D6B82">
                  <w:pPr>
                    <w:pStyle w:val="37"/>
                    <w:spacing w:line="300" w:lineRule="exact"/>
                    <w:ind w:firstLine="0" w:firstLineChars="0"/>
                    <w:jc w:val="center"/>
                    <w:rPr>
                      <w:rFonts w:hint="eastAsia" w:ascii="Arial Unicode MS" w:hAnsi="Arial Unicode MS"/>
                      <w:sz w:val="18"/>
                      <w:szCs w:val="18"/>
                    </w:rPr>
                  </w:pPr>
                </w:p>
              </w:tc>
            </w:tr>
            <w:tr w14:paraId="3537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3" w:type="pct"/>
                  <w:noWrap w:val="0"/>
                  <w:vAlign w:val="center"/>
                </w:tcPr>
                <w:p w14:paraId="7C40C800">
                  <w:pPr>
                    <w:widowControl/>
                    <w:jc w:val="left"/>
                    <w:textAlignment w:val="center"/>
                    <w:rPr>
                      <w:rFonts w:hint="eastAsia" w:ascii="宋体" w:hAnsi="宋体" w:cs="宋体"/>
                      <w:sz w:val="18"/>
                      <w:szCs w:val="18"/>
                    </w:rPr>
                  </w:pPr>
                </w:p>
              </w:tc>
              <w:tc>
                <w:tcPr>
                  <w:tcW w:w="3756" w:type="pct"/>
                  <w:noWrap w:val="0"/>
                  <w:vAlign w:val="top"/>
                </w:tcPr>
                <w:p w14:paraId="2E823F31">
                  <w:pPr>
                    <w:pStyle w:val="37"/>
                    <w:spacing w:line="300" w:lineRule="exact"/>
                    <w:ind w:firstLine="0" w:firstLineChars="0"/>
                    <w:jc w:val="center"/>
                    <w:rPr>
                      <w:rFonts w:hint="eastAsia" w:ascii="Arial Unicode MS" w:hAnsi="Arial Unicode MS"/>
                      <w:sz w:val="18"/>
                      <w:szCs w:val="18"/>
                    </w:rPr>
                  </w:pPr>
                </w:p>
              </w:tc>
            </w:tr>
            <w:tr w14:paraId="72A2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3" w:type="pct"/>
                  <w:noWrap w:val="0"/>
                  <w:vAlign w:val="center"/>
                </w:tcPr>
                <w:p w14:paraId="3ECC60B3">
                  <w:pPr>
                    <w:widowControl/>
                    <w:jc w:val="left"/>
                    <w:textAlignment w:val="center"/>
                    <w:rPr>
                      <w:rFonts w:hint="eastAsia" w:ascii="宋体" w:hAnsi="宋体" w:cs="宋体"/>
                      <w:sz w:val="18"/>
                      <w:szCs w:val="18"/>
                    </w:rPr>
                  </w:pPr>
                </w:p>
              </w:tc>
              <w:tc>
                <w:tcPr>
                  <w:tcW w:w="3756" w:type="pct"/>
                  <w:noWrap w:val="0"/>
                  <w:vAlign w:val="top"/>
                </w:tcPr>
                <w:p w14:paraId="51F6DE76">
                  <w:pPr>
                    <w:pStyle w:val="37"/>
                    <w:spacing w:line="300" w:lineRule="exact"/>
                    <w:ind w:firstLine="0" w:firstLineChars="0"/>
                    <w:jc w:val="center"/>
                    <w:rPr>
                      <w:rFonts w:hint="eastAsia" w:ascii="Arial Unicode MS" w:hAnsi="Arial Unicode MS"/>
                      <w:sz w:val="18"/>
                      <w:szCs w:val="18"/>
                    </w:rPr>
                  </w:pPr>
                </w:p>
              </w:tc>
            </w:tr>
          </w:tbl>
          <w:p w14:paraId="6DD90C55">
            <w:pPr>
              <w:rPr>
                <w:rFonts w:hint="eastAsia" w:ascii="Arial Unicode MS" w:hAnsi="Arial Unicode MS"/>
                <w:sz w:val="24"/>
              </w:rPr>
            </w:pPr>
            <w:r>
              <w:rPr>
                <w:rFonts w:ascii="Arial Unicode MS" w:hAnsi="Arial Unicode MS"/>
                <w:sz w:val="24"/>
              </w:rPr>
              <w:br w:type="page"/>
            </w:r>
          </w:p>
          <w:p w14:paraId="66F0F4B0">
            <w:pPr>
              <w:pStyle w:val="4"/>
              <w:numPr>
                <w:ilvl w:val="0"/>
                <w:numId w:val="0"/>
              </w:numPr>
              <w:ind w:left="720" w:hanging="720"/>
              <w:rPr>
                <w:rFonts w:ascii="Cambria" w:hAnsi="Cambria" w:eastAsia="宋体" w:cs="Times New Roman"/>
              </w:rPr>
            </w:pPr>
            <w:bookmarkStart w:id="21" w:name="_Toc6070"/>
            <w:r>
              <w:rPr>
                <w:rFonts w:hint="eastAsia"/>
                <w:sz w:val="28"/>
                <w:szCs w:val="28"/>
              </w:rPr>
              <w:t>3.2.</w:t>
            </w:r>
            <w:r>
              <w:rPr>
                <w:sz w:val="28"/>
                <w:szCs w:val="28"/>
              </w:rPr>
              <w:t xml:space="preserve">4 </w:t>
            </w:r>
            <w:r>
              <w:rPr>
                <w:rFonts w:hint="eastAsia" w:ascii="Cambria" w:hAnsi="Cambria" w:eastAsia="宋体" w:cs="Times New Roman"/>
              </w:rPr>
              <w:t>专题方案改造内容</w:t>
            </w:r>
            <w:bookmarkEnd w:id="21"/>
          </w:p>
          <w:tbl>
            <w:tblPr>
              <w:tblStyle w:val="24"/>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856"/>
              <w:gridCol w:w="6190"/>
            </w:tblGrid>
            <w:tr w14:paraId="122E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1" w:type="pct"/>
                  <w:shd w:val="clear" w:color="auto" w:fill="BEBEBE"/>
                  <w:noWrap w:val="0"/>
                  <w:vAlign w:val="center"/>
                </w:tcPr>
                <w:p w14:paraId="0F0856CE">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专题方案</w:t>
                  </w:r>
                </w:p>
              </w:tc>
              <w:tc>
                <w:tcPr>
                  <w:tcW w:w="924" w:type="pct"/>
                  <w:shd w:val="clear" w:color="auto" w:fill="BEBEBE"/>
                  <w:noWrap w:val="0"/>
                  <w:vAlign w:val="center"/>
                </w:tcPr>
                <w:p w14:paraId="3D9129BF">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涉及系统参考</w:t>
                  </w:r>
                </w:p>
              </w:tc>
              <w:tc>
                <w:tcPr>
                  <w:tcW w:w="3084" w:type="pct"/>
                  <w:shd w:val="clear" w:color="auto" w:fill="BEBEBE"/>
                  <w:noWrap w:val="0"/>
                  <w:vAlign w:val="center"/>
                </w:tcPr>
                <w:p w14:paraId="34719977">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受影响</w:t>
                  </w:r>
                  <w:r>
                    <w:rPr>
                      <w:rFonts w:ascii="宋体" w:hAnsi="宋体"/>
                      <w:b/>
                      <w:color w:val="auto"/>
                      <w:sz w:val="20"/>
                      <w:szCs w:val="20"/>
                      <w:lang w:eastAsia="zh-CN"/>
                    </w:rPr>
                    <w:t>系统功能点</w:t>
                  </w:r>
                </w:p>
              </w:tc>
            </w:tr>
            <w:tr w14:paraId="1137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1" w:type="pct"/>
                  <w:noWrap w:val="0"/>
                  <w:vAlign w:val="center"/>
                </w:tcPr>
                <w:p w14:paraId="353D01CA">
                  <w:pPr>
                    <w:widowControl/>
                    <w:jc w:val="left"/>
                    <w:textAlignment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收付费记账改造方案</w:t>
                  </w:r>
                </w:p>
              </w:tc>
              <w:tc>
                <w:tcPr>
                  <w:tcW w:w="924" w:type="pct"/>
                  <w:noWrap w:val="0"/>
                  <w:vAlign w:val="center"/>
                </w:tcPr>
                <w:p w14:paraId="177EACA0">
                  <w:pPr>
                    <w:widowControl/>
                    <w:jc w:val="center"/>
                    <w:textAlignment w:val="center"/>
                    <w:rPr>
                      <w:rFonts w:hint="default" w:ascii="宋体" w:hAnsi="宋体" w:eastAsia="宋体" w:cs="宋体"/>
                      <w:sz w:val="15"/>
                      <w:szCs w:val="15"/>
                      <w:lang w:val="en-US" w:eastAsia="zh-CN"/>
                    </w:rPr>
                  </w:pPr>
                  <w:r>
                    <w:rPr>
                      <w:rFonts w:hint="eastAsia" w:ascii="宋体" w:hAnsi="宋体" w:cs="宋体"/>
                      <w:sz w:val="15"/>
                      <w:szCs w:val="15"/>
                      <w:lang w:val="en-US" w:eastAsia="zh-CN"/>
                    </w:rPr>
                    <w:t>支付中台</w:t>
                  </w:r>
                </w:p>
              </w:tc>
              <w:tc>
                <w:tcPr>
                  <w:tcW w:w="3084" w:type="pct"/>
                  <w:noWrap w:val="0"/>
                  <w:vAlign w:val="center"/>
                </w:tcPr>
                <w:p w14:paraId="5B4B25F6">
                  <w:pPr>
                    <w:pStyle w:val="37"/>
                    <w:spacing w:line="300" w:lineRule="exact"/>
                    <w:ind w:firstLine="0" w:firstLineChars="0"/>
                    <w:jc w:val="center"/>
                    <w:rPr>
                      <w:rFonts w:hint="default" w:ascii="Arial Unicode MS" w:hAnsi="Arial Unicode MS" w:eastAsia="宋体"/>
                      <w:sz w:val="18"/>
                      <w:szCs w:val="18"/>
                      <w:lang w:val="en-US" w:eastAsia="zh-CN"/>
                    </w:rPr>
                  </w:pPr>
                  <w:r>
                    <w:rPr>
                      <w:rFonts w:hint="eastAsia" w:ascii="Arial Unicode MS" w:hAnsi="Arial Unicode MS"/>
                      <w:sz w:val="18"/>
                      <w:szCs w:val="18"/>
                      <w:lang w:val="en-US" w:eastAsia="zh-CN"/>
                    </w:rPr>
                    <w:t>支付中台（认证/代收/网联/银企直连），新增收付费配置规则及手续费统计表</w:t>
                  </w:r>
                </w:p>
              </w:tc>
            </w:tr>
            <w:tr w14:paraId="2282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1" w:type="pct"/>
                  <w:noWrap w:val="0"/>
                  <w:vAlign w:val="center"/>
                </w:tcPr>
                <w:p w14:paraId="4E4EFAB4">
                  <w:pPr>
                    <w:widowControl/>
                    <w:jc w:val="left"/>
                    <w:textAlignment w:val="center"/>
                    <w:rPr>
                      <w:rFonts w:hint="eastAsia" w:ascii="宋体" w:hAnsi="宋体" w:cs="宋体"/>
                      <w:sz w:val="18"/>
                      <w:szCs w:val="18"/>
                    </w:rPr>
                  </w:pPr>
                </w:p>
              </w:tc>
              <w:tc>
                <w:tcPr>
                  <w:tcW w:w="924" w:type="pct"/>
                  <w:noWrap w:val="0"/>
                  <w:vAlign w:val="center"/>
                </w:tcPr>
                <w:p w14:paraId="02746D96">
                  <w:pPr>
                    <w:widowControl/>
                    <w:jc w:val="center"/>
                    <w:textAlignment w:val="center"/>
                    <w:rPr>
                      <w:rFonts w:hint="eastAsia" w:ascii="宋体" w:hAnsi="宋体" w:cs="宋体"/>
                      <w:sz w:val="15"/>
                      <w:szCs w:val="15"/>
                    </w:rPr>
                  </w:pPr>
                </w:p>
              </w:tc>
              <w:tc>
                <w:tcPr>
                  <w:tcW w:w="3084" w:type="pct"/>
                  <w:noWrap w:val="0"/>
                  <w:vAlign w:val="center"/>
                </w:tcPr>
                <w:p w14:paraId="20D54888">
                  <w:pPr>
                    <w:pStyle w:val="37"/>
                    <w:spacing w:line="300" w:lineRule="exact"/>
                    <w:ind w:firstLine="0" w:firstLineChars="0"/>
                    <w:jc w:val="center"/>
                    <w:rPr>
                      <w:rFonts w:hint="eastAsia" w:ascii="Arial Unicode MS" w:hAnsi="Arial Unicode MS"/>
                      <w:sz w:val="18"/>
                      <w:szCs w:val="18"/>
                    </w:rPr>
                  </w:pPr>
                </w:p>
              </w:tc>
            </w:tr>
            <w:tr w14:paraId="32B5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1" w:type="pct"/>
                  <w:noWrap w:val="0"/>
                  <w:vAlign w:val="center"/>
                </w:tcPr>
                <w:p w14:paraId="7C55369B">
                  <w:pPr>
                    <w:widowControl/>
                    <w:jc w:val="left"/>
                    <w:textAlignment w:val="center"/>
                    <w:rPr>
                      <w:rFonts w:hint="eastAsia" w:ascii="宋体" w:hAnsi="宋体" w:cs="宋体"/>
                      <w:sz w:val="18"/>
                      <w:szCs w:val="18"/>
                    </w:rPr>
                  </w:pPr>
                </w:p>
              </w:tc>
              <w:tc>
                <w:tcPr>
                  <w:tcW w:w="924" w:type="pct"/>
                  <w:noWrap w:val="0"/>
                  <w:vAlign w:val="center"/>
                </w:tcPr>
                <w:p w14:paraId="401CCB9B">
                  <w:pPr>
                    <w:widowControl/>
                    <w:jc w:val="center"/>
                    <w:textAlignment w:val="center"/>
                    <w:rPr>
                      <w:rFonts w:hint="eastAsia" w:ascii="宋体" w:hAnsi="宋体" w:cs="宋体"/>
                      <w:sz w:val="15"/>
                      <w:szCs w:val="15"/>
                    </w:rPr>
                  </w:pPr>
                </w:p>
              </w:tc>
              <w:tc>
                <w:tcPr>
                  <w:tcW w:w="3084" w:type="pct"/>
                  <w:noWrap w:val="0"/>
                  <w:vAlign w:val="center"/>
                </w:tcPr>
                <w:p w14:paraId="23F5224A">
                  <w:pPr>
                    <w:pStyle w:val="37"/>
                    <w:spacing w:line="300" w:lineRule="exact"/>
                    <w:ind w:firstLine="0" w:firstLineChars="0"/>
                    <w:jc w:val="center"/>
                    <w:rPr>
                      <w:rFonts w:hint="eastAsia" w:ascii="Arial Unicode MS" w:hAnsi="Arial Unicode MS"/>
                      <w:sz w:val="18"/>
                      <w:szCs w:val="18"/>
                    </w:rPr>
                  </w:pPr>
                </w:p>
              </w:tc>
            </w:tr>
            <w:tr w14:paraId="29DA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1" w:type="pct"/>
                  <w:noWrap w:val="0"/>
                  <w:vAlign w:val="center"/>
                </w:tcPr>
                <w:p w14:paraId="25283EB7">
                  <w:pPr>
                    <w:widowControl/>
                    <w:jc w:val="left"/>
                    <w:textAlignment w:val="center"/>
                    <w:rPr>
                      <w:rFonts w:hint="eastAsia" w:ascii="宋体" w:hAnsi="宋体" w:cs="宋体"/>
                      <w:sz w:val="18"/>
                      <w:szCs w:val="18"/>
                    </w:rPr>
                  </w:pPr>
                </w:p>
              </w:tc>
              <w:tc>
                <w:tcPr>
                  <w:tcW w:w="924" w:type="pct"/>
                  <w:noWrap w:val="0"/>
                  <w:vAlign w:val="center"/>
                </w:tcPr>
                <w:p w14:paraId="264C5BC5">
                  <w:pPr>
                    <w:widowControl/>
                    <w:jc w:val="center"/>
                    <w:textAlignment w:val="center"/>
                    <w:rPr>
                      <w:rFonts w:hint="eastAsia" w:ascii="宋体" w:hAnsi="宋体" w:cs="宋体"/>
                      <w:sz w:val="15"/>
                      <w:szCs w:val="15"/>
                    </w:rPr>
                  </w:pPr>
                </w:p>
              </w:tc>
              <w:tc>
                <w:tcPr>
                  <w:tcW w:w="3084" w:type="pct"/>
                  <w:noWrap w:val="0"/>
                  <w:vAlign w:val="center"/>
                </w:tcPr>
                <w:p w14:paraId="2E7D26A1">
                  <w:pPr>
                    <w:pStyle w:val="37"/>
                    <w:spacing w:line="300" w:lineRule="exact"/>
                    <w:ind w:firstLine="0" w:firstLineChars="0"/>
                    <w:jc w:val="center"/>
                    <w:rPr>
                      <w:rFonts w:hint="eastAsia" w:ascii="Arial Unicode MS" w:hAnsi="Arial Unicode MS"/>
                      <w:sz w:val="18"/>
                      <w:szCs w:val="18"/>
                    </w:rPr>
                  </w:pPr>
                </w:p>
              </w:tc>
            </w:tr>
          </w:tbl>
          <w:p w14:paraId="33BA00F4">
            <w:pPr>
              <w:rPr>
                <w:rFonts w:hint="eastAsia" w:ascii="Arial Unicode MS" w:hAnsi="Arial Unicode MS"/>
                <w:sz w:val="24"/>
              </w:rPr>
            </w:pPr>
            <w:r>
              <w:rPr>
                <w:rFonts w:ascii="Arial Unicode MS" w:hAnsi="Arial Unicode MS"/>
                <w:sz w:val="24"/>
              </w:rPr>
              <w:br w:type="page"/>
            </w:r>
          </w:p>
          <w:p w14:paraId="575D4164">
            <w:pPr>
              <w:pStyle w:val="4"/>
              <w:numPr>
                <w:ilvl w:val="0"/>
                <w:numId w:val="0"/>
              </w:numPr>
              <w:ind w:left="720" w:hanging="720"/>
              <w:rPr>
                <w:rFonts w:ascii="Cambria" w:hAnsi="Cambria" w:eastAsia="宋体" w:cs="Times New Roman"/>
              </w:rPr>
            </w:pPr>
            <w:bookmarkStart w:id="22" w:name="_Toc16046"/>
            <w:r>
              <w:rPr>
                <w:rFonts w:hint="eastAsia"/>
                <w:sz w:val="28"/>
                <w:szCs w:val="28"/>
              </w:rPr>
              <w:t>3.2.</w:t>
            </w:r>
            <w:r>
              <w:rPr>
                <w:sz w:val="28"/>
                <w:szCs w:val="28"/>
              </w:rPr>
              <w:t xml:space="preserve">5 </w:t>
            </w:r>
            <w:r>
              <w:rPr>
                <w:rFonts w:hint="eastAsia" w:ascii="Cambria" w:hAnsi="Cambria" w:eastAsia="宋体" w:cs="Times New Roman"/>
              </w:rPr>
              <w:t>需求及内部优化改造内容</w:t>
            </w:r>
            <w:bookmarkEnd w:id="22"/>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9"/>
              <w:gridCol w:w="5735"/>
            </w:tblGrid>
            <w:tr w14:paraId="78AB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2" w:type="pct"/>
                  <w:shd w:val="clear" w:color="auto" w:fill="BEBEBE"/>
                  <w:noWrap w:val="0"/>
                  <w:vAlign w:val="center"/>
                </w:tcPr>
                <w:p w14:paraId="0736E9EA">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业务新需求/</w:t>
                  </w:r>
                </w:p>
                <w:p w14:paraId="341FBC33">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系统内部优化</w:t>
                  </w:r>
                </w:p>
              </w:tc>
              <w:tc>
                <w:tcPr>
                  <w:tcW w:w="2858" w:type="pct"/>
                  <w:shd w:val="clear" w:color="auto" w:fill="BEBEBE"/>
                  <w:noWrap w:val="0"/>
                  <w:vAlign w:val="center"/>
                </w:tcPr>
                <w:p w14:paraId="049D4154">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受影响</w:t>
                  </w:r>
                  <w:r>
                    <w:rPr>
                      <w:rFonts w:ascii="宋体" w:hAnsi="宋体"/>
                      <w:b/>
                      <w:color w:val="auto"/>
                      <w:sz w:val="20"/>
                      <w:szCs w:val="20"/>
                      <w:lang w:eastAsia="zh-CN"/>
                    </w:rPr>
                    <w:t>系统功能点</w:t>
                  </w:r>
                </w:p>
              </w:tc>
            </w:tr>
            <w:tr w14:paraId="76A7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2" w:type="pct"/>
                  <w:noWrap w:val="0"/>
                  <w:vAlign w:val="center"/>
                </w:tcPr>
                <w:p w14:paraId="5CEF2A8B">
                  <w:pPr>
                    <w:pStyle w:val="37"/>
                    <w:spacing w:line="300" w:lineRule="exact"/>
                    <w:ind w:firstLineChars="111"/>
                    <w:rPr>
                      <w:rFonts w:hint="eastAsia" w:ascii="Arial Unicode MS" w:hAnsi="Arial Unicode MS"/>
                      <w:sz w:val="18"/>
                      <w:szCs w:val="18"/>
                    </w:rPr>
                  </w:pPr>
                </w:p>
              </w:tc>
              <w:tc>
                <w:tcPr>
                  <w:tcW w:w="2858" w:type="pct"/>
                  <w:noWrap w:val="0"/>
                  <w:vAlign w:val="center"/>
                </w:tcPr>
                <w:p w14:paraId="621B163C">
                  <w:pPr>
                    <w:pStyle w:val="37"/>
                    <w:spacing w:line="300" w:lineRule="exact"/>
                    <w:ind w:firstLine="0" w:firstLineChars="0"/>
                    <w:jc w:val="center"/>
                    <w:rPr>
                      <w:rFonts w:hint="eastAsia" w:ascii="Arial Unicode MS" w:hAnsi="Arial Unicode MS"/>
                      <w:sz w:val="18"/>
                      <w:szCs w:val="18"/>
                    </w:rPr>
                  </w:pPr>
                </w:p>
              </w:tc>
            </w:tr>
            <w:tr w14:paraId="4C86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2" w:type="pct"/>
                  <w:noWrap w:val="0"/>
                  <w:vAlign w:val="center"/>
                </w:tcPr>
                <w:p w14:paraId="48A4DF18">
                  <w:pPr>
                    <w:pStyle w:val="37"/>
                    <w:spacing w:line="300" w:lineRule="exact"/>
                    <w:ind w:firstLine="0" w:firstLineChars="0"/>
                    <w:jc w:val="center"/>
                    <w:rPr>
                      <w:rFonts w:hint="eastAsia" w:ascii="Arial Unicode MS" w:hAnsi="Arial Unicode MS"/>
                      <w:sz w:val="18"/>
                      <w:szCs w:val="18"/>
                    </w:rPr>
                  </w:pPr>
                </w:p>
              </w:tc>
              <w:tc>
                <w:tcPr>
                  <w:tcW w:w="2858" w:type="pct"/>
                  <w:noWrap w:val="0"/>
                  <w:vAlign w:val="center"/>
                </w:tcPr>
                <w:p w14:paraId="237AE0A8">
                  <w:pPr>
                    <w:pStyle w:val="37"/>
                    <w:spacing w:line="300" w:lineRule="exact"/>
                    <w:ind w:firstLine="0" w:firstLineChars="0"/>
                    <w:jc w:val="center"/>
                    <w:rPr>
                      <w:rFonts w:hint="eastAsia" w:ascii="Arial Unicode MS" w:hAnsi="Arial Unicode MS"/>
                      <w:sz w:val="18"/>
                      <w:szCs w:val="18"/>
                    </w:rPr>
                  </w:pPr>
                </w:p>
              </w:tc>
            </w:tr>
            <w:tr w14:paraId="4B55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2" w:type="pct"/>
                  <w:noWrap w:val="0"/>
                  <w:vAlign w:val="center"/>
                </w:tcPr>
                <w:p w14:paraId="5D755C7F">
                  <w:pPr>
                    <w:pStyle w:val="37"/>
                    <w:spacing w:line="300" w:lineRule="exact"/>
                    <w:ind w:firstLine="0" w:firstLineChars="0"/>
                    <w:jc w:val="center"/>
                    <w:rPr>
                      <w:rFonts w:hint="eastAsia" w:ascii="Arial Unicode MS" w:hAnsi="Arial Unicode MS"/>
                      <w:sz w:val="18"/>
                      <w:szCs w:val="18"/>
                    </w:rPr>
                  </w:pPr>
                </w:p>
              </w:tc>
              <w:tc>
                <w:tcPr>
                  <w:tcW w:w="2858" w:type="pct"/>
                  <w:noWrap w:val="0"/>
                  <w:vAlign w:val="center"/>
                </w:tcPr>
                <w:p w14:paraId="4BAA4F99">
                  <w:pPr>
                    <w:pStyle w:val="37"/>
                    <w:spacing w:line="300" w:lineRule="exact"/>
                    <w:ind w:firstLine="0" w:firstLineChars="0"/>
                    <w:jc w:val="center"/>
                    <w:rPr>
                      <w:rFonts w:hint="eastAsia" w:ascii="Arial Unicode MS" w:hAnsi="Arial Unicode MS"/>
                      <w:sz w:val="18"/>
                      <w:szCs w:val="18"/>
                    </w:rPr>
                  </w:pPr>
                </w:p>
              </w:tc>
            </w:tr>
            <w:tr w14:paraId="7823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2" w:type="pct"/>
                  <w:noWrap w:val="0"/>
                  <w:vAlign w:val="center"/>
                </w:tcPr>
                <w:p w14:paraId="1AA72B4E">
                  <w:pPr>
                    <w:pStyle w:val="37"/>
                    <w:spacing w:line="300" w:lineRule="exact"/>
                    <w:ind w:firstLine="0" w:firstLineChars="0"/>
                    <w:jc w:val="center"/>
                    <w:rPr>
                      <w:rFonts w:hint="eastAsia" w:ascii="Arial Unicode MS" w:hAnsi="Arial Unicode MS"/>
                      <w:sz w:val="18"/>
                      <w:szCs w:val="18"/>
                    </w:rPr>
                  </w:pPr>
                </w:p>
              </w:tc>
              <w:tc>
                <w:tcPr>
                  <w:tcW w:w="2858" w:type="pct"/>
                  <w:noWrap w:val="0"/>
                  <w:vAlign w:val="center"/>
                </w:tcPr>
                <w:p w14:paraId="443102BA">
                  <w:pPr>
                    <w:pStyle w:val="37"/>
                    <w:spacing w:line="300" w:lineRule="exact"/>
                    <w:ind w:firstLine="0" w:firstLineChars="0"/>
                    <w:jc w:val="center"/>
                    <w:rPr>
                      <w:rFonts w:hint="eastAsia" w:ascii="Arial Unicode MS" w:hAnsi="Arial Unicode MS"/>
                      <w:sz w:val="18"/>
                      <w:szCs w:val="18"/>
                    </w:rPr>
                  </w:pPr>
                </w:p>
              </w:tc>
            </w:tr>
            <w:tr w14:paraId="30D1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2" w:type="pct"/>
                  <w:noWrap w:val="0"/>
                  <w:vAlign w:val="center"/>
                </w:tcPr>
                <w:p w14:paraId="312A52E0">
                  <w:pPr>
                    <w:pStyle w:val="37"/>
                    <w:spacing w:line="300" w:lineRule="exact"/>
                    <w:ind w:firstLine="0" w:firstLineChars="0"/>
                    <w:jc w:val="center"/>
                    <w:rPr>
                      <w:rFonts w:hint="eastAsia" w:ascii="Arial Unicode MS" w:hAnsi="Arial Unicode MS"/>
                      <w:sz w:val="18"/>
                      <w:szCs w:val="18"/>
                    </w:rPr>
                  </w:pPr>
                </w:p>
              </w:tc>
              <w:tc>
                <w:tcPr>
                  <w:tcW w:w="2858" w:type="pct"/>
                  <w:noWrap w:val="0"/>
                  <w:vAlign w:val="center"/>
                </w:tcPr>
                <w:p w14:paraId="3F320CE9">
                  <w:pPr>
                    <w:pStyle w:val="37"/>
                    <w:spacing w:line="300" w:lineRule="exact"/>
                    <w:ind w:firstLine="0" w:firstLineChars="0"/>
                    <w:jc w:val="center"/>
                    <w:rPr>
                      <w:rFonts w:hint="eastAsia" w:ascii="Arial Unicode MS" w:hAnsi="Arial Unicode MS"/>
                      <w:sz w:val="18"/>
                      <w:szCs w:val="18"/>
                    </w:rPr>
                  </w:pPr>
                </w:p>
              </w:tc>
            </w:tr>
          </w:tbl>
          <w:p w14:paraId="731DF65A">
            <w:pPr>
              <w:rPr>
                <w:rFonts w:hint="eastAsia" w:ascii="Arial Unicode MS" w:hAnsi="Arial Unicode MS"/>
                <w:sz w:val="24"/>
              </w:rPr>
            </w:pPr>
          </w:p>
          <w:p w14:paraId="70FE0E15">
            <w:pPr>
              <w:pStyle w:val="4"/>
              <w:numPr>
                <w:ilvl w:val="0"/>
                <w:numId w:val="0"/>
              </w:numPr>
              <w:ind w:left="720" w:hanging="720"/>
              <w:rPr>
                <w:sz w:val="28"/>
                <w:szCs w:val="28"/>
              </w:rPr>
            </w:pPr>
            <w:bookmarkStart w:id="23" w:name="_Toc18471"/>
            <w:r>
              <w:rPr>
                <w:rFonts w:hint="eastAsia"/>
                <w:sz w:val="28"/>
                <w:szCs w:val="28"/>
              </w:rPr>
              <w:t>3.2.</w:t>
            </w:r>
            <w:r>
              <w:rPr>
                <w:sz w:val="28"/>
                <w:szCs w:val="28"/>
              </w:rPr>
              <w:t xml:space="preserve">6 </w:t>
            </w:r>
            <w:r>
              <w:rPr>
                <w:rFonts w:hint="eastAsia"/>
                <w:sz w:val="28"/>
                <w:szCs w:val="28"/>
              </w:rPr>
              <w:t>数据调整内容</w:t>
            </w:r>
            <w:bookmarkEnd w:id="23"/>
          </w:p>
          <w:p w14:paraId="2477DB5C">
            <w:pPr>
              <w:pStyle w:val="37"/>
              <w:spacing w:line="300" w:lineRule="exact"/>
              <w:ind w:firstLine="480"/>
              <w:rPr>
                <w:rFonts w:hint="eastAsia" w:ascii="Arial Unicode MS" w:hAnsi="Arial Unicode MS"/>
                <w:sz w:val="24"/>
              </w:rPr>
            </w:pPr>
            <w:r>
              <w:rPr>
                <w:rFonts w:hint="eastAsia" w:ascii="Arial Unicode MS" w:hAnsi="Arial Unicode MS"/>
                <w:sz w:val="24"/>
              </w:rPr>
              <w:t>（数据调整分析，有哪些需要调整的供数文件，从哪获取，历史数据是否需要调整，调整后数据是否需要提供给其他外围系统。外围系统与核心系统的移植内容，如：需要传递一些客户的基本信息到新核心系统中；部分外围中间签约数据需要传递到</w:t>
            </w:r>
            <w:r>
              <w:rPr>
                <w:rFonts w:hint="eastAsia" w:ascii="Arial Unicode MS" w:hAnsi="Arial Unicode MS"/>
                <w:sz w:val="24"/>
                <w:lang w:val="en-US"/>
              </w:rPr>
              <w:t>统一签约管理的系统中</w:t>
            </w:r>
            <w:r>
              <w:rPr>
                <w:rFonts w:hint="eastAsia" w:ascii="Arial Unicode MS" w:hAnsi="Arial Unicode MS"/>
                <w:sz w:val="24"/>
              </w:rPr>
              <w:t>；因核心系统变化，外围系统间会出现数据互相迁移的情况。）</w:t>
            </w:r>
          </w:p>
          <w:tbl>
            <w:tblPr>
              <w:tblStyle w:val="24"/>
              <w:tblW w:w="48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7"/>
              <w:gridCol w:w="7418"/>
            </w:tblGrid>
            <w:tr w14:paraId="4122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3" w:type="pct"/>
                  <w:shd w:val="clear" w:color="auto" w:fill="BEBEBE"/>
                  <w:noWrap w:val="0"/>
                  <w:vAlign w:val="center"/>
                </w:tcPr>
                <w:p w14:paraId="51935DC4">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受影响数据库表</w:t>
                  </w:r>
                </w:p>
              </w:tc>
              <w:tc>
                <w:tcPr>
                  <w:tcW w:w="3786" w:type="pct"/>
                  <w:shd w:val="clear" w:color="auto" w:fill="BEBEBE"/>
                  <w:noWrap w:val="0"/>
                  <w:vAlign w:val="center"/>
                </w:tcPr>
                <w:p w14:paraId="732CDF21">
                  <w:pPr>
                    <w:pStyle w:val="38"/>
                    <w:jc w:val="center"/>
                    <w:rPr>
                      <w:rFonts w:hint="eastAsia" w:ascii="宋体" w:hAnsi="宋体"/>
                      <w:b/>
                      <w:color w:val="auto"/>
                      <w:sz w:val="20"/>
                      <w:szCs w:val="20"/>
                      <w:lang w:eastAsia="zh-CN"/>
                    </w:rPr>
                  </w:pPr>
                  <w:r>
                    <w:rPr>
                      <w:rFonts w:ascii="宋体" w:hAnsi="宋体"/>
                      <w:b/>
                      <w:color w:val="auto"/>
                      <w:sz w:val="20"/>
                      <w:szCs w:val="20"/>
                      <w:lang w:eastAsia="zh-CN"/>
                    </w:rPr>
                    <w:t>具体</w:t>
                  </w:r>
                  <w:r>
                    <w:rPr>
                      <w:rFonts w:hint="eastAsia" w:ascii="宋体" w:hAnsi="宋体"/>
                      <w:b/>
                      <w:color w:val="auto"/>
                      <w:sz w:val="20"/>
                      <w:szCs w:val="20"/>
                      <w:lang w:eastAsia="zh-CN"/>
                    </w:rPr>
                    <w:t>调整</w:t>
                  </w:r>
                  <w:r>
                    <w:rPr>
                      <w:rFonts w:ascii="宋体" w:hAnsi="宋体"/>
                      <w:b/>
                      <w:color w:val="auto"/>
                      <w:sz w:val="20"/>
                      <w:szCs w:val="20"/>
                      <w:lang w:eastAsia="zh-CN"/>
                    </w:rPr>
                    <w:t>方案</w:t>
                  </w:r>
                </w:p>
              </w:tc>
            </w:tr>
            <w:tr w14:paraId="2E27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3" w:type="pct"/>
                  <w:noWrap w:val="0"/>
                  <w:vAlign w:val="center"/>
                </w:tcPr>
                <w:p w14:paraId="3B9448C2">
                  <w:pPr>
                    <w:pStyle w:val="37"/>
                    <w:spacing w:line="300" w:lineRule="exact"/>
                    <w:ind w:firstLine="0" w:firstLineChars="0"/>
                    <w:jc w:val="center"/>
                    <w:rPr>
                      <w:rFonts w:hint="default" w:ascii="Arial Unicode MS" w:hAnsi="Arial Unicode MS" w:eastAsia="宋体"/>
                      <w:sz w:val="18"/>
                      <w:szCs w:val="18"/>
                      <w:lang w:val="en-US" w:eastAsia="zh-CN"/>
                    </w:rPr>
                  </w:pPr>
                  <w:r>
                    <w:rPr>
                      <w:rFonts w:hint="eastAsia" w:ascii="Arial Unicode MS" w:hAnsi="Arial Unicode MS"/>
                      <w:sz w:val="18"/>
                      <w:szCs w:val="18"/>
                      <w:lang w:val="en-US" w:eastAsia="zh-CN"/>
                    </w:rPr>
                    <w:t>支付中台</w:t>
                  </w:r>
                </w:p>
              </w:tc>
              <w:tc>
                <w:tcPr>
                  <w:tcW w:w="3786" w:type="pct"/>
                  <w:noWrap w:val="0"/>
                  <w:vAlign w:val="center"/>
                </w:tcPr>
                <w:p w14:paraId="1873CE3E">
                  <w:pPr>
                    <w:pStyle w:val="37"/>
                    <w:spacing w:line="300" w:lineRule="exact"/>
                    <w:ind w:firstLine="0" w:firstLineChars="0"/>
                    <w:jc w:val="left"/>
                    <w:rPr>
                      <w:rFonts w:hint="eastAsia" w:ascii="Arial Unicode MS" w:hAnsi="Arial Unicode MS" w:eastAsia="宋体" w:cs="Times New Roman"/>
                      <w:sz w:val="18"/>
                      <w:szCs w:val="18"/>
                      <w:lang w:val="en-US" w:eastAsia="zh-CN"/>
                    </w:rPr>
                  </w:pPr>
                  <w:r>
                    <w:rPr>
                      <w:rFonts w:hint="eastAsia" w:ascii="Arial Unicode MS" w:hAnsi="Arial Unicode MS"/>
                      <w:sz w:val="18"/>
                      <w:szCs w:val="18"/>
                      <w:lang w:val="en-US" w:eastAsia="zh-CN"/>
                    </w:rPr>
                    <w:t>手续费统计报表功能中，增加需要给综合前端系统的付费信息字段，包</w:t>
                  </w:r>
                  <w:r>
                    <w:rPr>
                      <w:rFonts w:hint="eastAsia" w:ascii="Arial Unicode MS" w:hAnsi="Arial Unicode MS" w:eastAsia="宋体" w:cs="Times New Roman"/>
                      <w:sz w:val="18"/>
                      <w:szCs w:val="18"/>
                      <w:lang w:val="en-US" w:eastAsia="zh-CN"/>
                    </w:rPr>
                    <w:t>含：费用类型、</w:t>
                  </w:r>
                  <w:r>
                    <w:rPr>
                      <w:rFonts w:hint="eastAsia" w:ascii="Arial Unicode MS" w:hAnsi="Arial Unicode MS" w:cs="Times New Roman"/>
                      <w:sz w:val="18"/>
                      <w:szCs w:val="18"/>
                      <w:lang w:val="en-US" w:eastAsia="zh-CN"/>
                    </w:rPr>
                    <w:t>支付机构</w:t>
                  </w:r>
                  <w:r>
                    <w:rPr>
                      <w:rFonts w:hint="eastAsia" w:ascii="Arial Unicode MS" w:hAnsi="Arial Unicode MS" w:eastAsia="宋体" w:cs="Times New Roman"/>
                      <w:sz w:val="18"/>
                      <w:szCs w:val="18"/>
                      <w:lang w:val="en-US" w:eastAsia="zh-CN"/>
                    </w:rPr>
                    <w:t>名称、产生</w:t>
                  </w:r>
                  <w:r>
                    <w:rPr>
                      <w:rFonts w:hint="eastAsia" w:ascii="Arial Unicode MS" w:hAnsi="Arial Unicode MS" w:cs="Times New Roman"/>
                      <w:sz w:val="18"/>
                      <w:szCs w:val="18"/>
                      <w:lang w:val="en-US" w:eastAsia="zh-CN"/>
                    </w:rPr>
                    <w:t>手续费</w:t>
                  </w:r>
                  <w:r>
                    <w:rPr>
                      <w:rFonts w:hint="eastAsia" w:ascii="Arial Unicode MS" w:hAnsi="Arial Unicode MS" w:eastAsia="宋体" w:cs="Times New Roman"/>
                      <w:sz w:val="18"/>
                      <w:szCs w:val="18"/>
                      <w:lang w:val="en-US" w:eastAsia="zh-CN"/>
                    </w:rPr>
                    <w:t>月份、</w:t>
                  </w:r>
                  <w:r>
                    <w:rPr>
                      <w:rFonts w:hint="eastAsia" w:ascii="Arial Unicode MS" w:hAnsi="Arial Unicode MS" w:cs="Times New Roman"/>
                      <w:sz w:val="18"/>
                      <w:szCs w:val="18"/>
                      <w:lang w:val="en-US" w:eastAsia="zh-CN"/>
                    </w:rPr>
                    <w:t>手续费</w:t>
                  </w:r>
                  <w:r>
                    <w:rPr>
                      <w:rFonts w:hint="eastAsia" w:ascii="Arial Unicode MS" w:hAnsi="Arial Unicode MS" w:eastAsia="宋体" w:cs="Times New Roman"/>
                      <w:sz w:val="18"/>
                      <w:szCs w:val="18"/>
                      <w:lang w:val="en-US" w:eastAsia="zh-CN"/>
                    </w:rPr>
                    <w:t>/待付款金额、税费金额、收款银行、收款账号。</w:t>
                  </w:r>
                </w:p>
                <w:p w14:paraId="34D14907">
                  <w:pPr>
                    <w:pStyle w:val="37"/>
                    <w:spacing w:line="300" w:lineRule="exact"/>
                    <w:ind w:firstLine="0" w:firstLineChars="0"/>
                    <w:jc w:val="left"/>
                    <w:rPr>
                      <w:rFonts w:hint="default" w:ascii="Arial Unicode MS" w:hAnsi="Arial Unicode MS" w:eastAsia="宋体" w:cs="Times New Roman"/>
                      <w:sz w:val="18"/>
                      <w:szCs w:val="18"/>
                      <w:lang w:val="en-US" w:eastAsia="zh-CN"/>
                    </w:rPr>
                  </w:pPr>
                  <w:r>
                    <w:rPr>
                      <w:rFonts w:hint="eastAsia" w:ascii="Arial Unicode MS" w:hAnsi="Arial Unicode MS" w:eastAsia="宋体" w:cs="Times New Roman"/>
                      <w:sz w:val="18"/>
                      <w:szCs w:val="18"/>
                      <w:lang w:val="en-US" w:eastAsia="zh-CN"/>
                    </w:rPr>
                    <w:t>涉及历史数据，经人工核对后的付费信息留存在</w:t>
                  </w:r>
                  <w:r>
                    <w:rPr>
                      <w:rFonts w:hint="eastAsia" w:ascii="Arial Unicode MS" w:hAnsi="Arial Unicode MS" w:cs="Times New Roman"/>
                      <w:sz w:val="18"/>
                      <w:szCs w:val="18"/>
                      <w:lang w:val="en-US" w:eastAsia="zh-CN"/>
                    </w:rPr>
                    <w:t>支付中台</w:t>
                  </w:r>
                  <w:r>
                    <w:rPr>
                      <w:rFonts w:hint="eastAsia" w:ascii="Arial Unicode MS" w:hAnsi="Arial Unicode MS" w:eastAsia="宋体" w:cs="Times New Roman"/>
                      <w:sz w:val="18"/>
                      <w:szCs w:val="18"/>
                      <w:lang w:val="en-US" w:eastAsia="zh-CN"/>
                    </w:rPr>
                    <w:t>中，从新核心上线后，按业务侧约定时间使用新的付费流程。</w:t>
                  </w:r>
                </w:p>
              </w:tc>
            </w:tr>
            <w:tr w14:paraId="5324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3" w:type="pct"/>
                  <w:noWrap w:val="0"/>
                  <w:vAlign w:val="top"/>
                </w:tcPr>
                <w:p w14:paraId="3FFF02BC">
                  <w:pPr>
                    <w:pStyle w:val="37"/>
                    <w:spacing w:line="300" w:lineRule="exact"/>
                    <w:ind w:firstLine="0" w:firstLineChars="0"/>
                    <w:jc w:val="center"/>
                    <w:rPr>
                      <w:rFonts w:hint="eastAsia" w:ascii="Arial Unicode MS" w:hAnsi="Arial Unicode MS"/>
                      <w:sz w:val="18"/>
                      <w:szCs w:val="18"/>
                    </w:rPr>
                  </w:pPr>
                </w:p>
              </w:tc>
              <w:tc>
                <w:tcPr>
                  <w:tcW w:w="3786" w:type="pct"/>
                  <w:noWrap w:val="0"/>
                  <w:vAlign w:val="top"/>
                </w:tcPr>
                <w:p w14:paraId="76ACC6BB">
                  <w:pPr>
                    <w:pStyle w:val="37"/>
                    <w:spacing w:line="300" w:lineRule="exact"/>
                    <w:ind w:firstLine="0" w:firstLineChars="0"/>
                    <w:jc w:val="center"/>
                    <w:rPr>
                      <w:rFonts w:hint="eastAsia" w:ascii="Arial Unicode MS" w:hAnsi="Arial Unicode MS"/>
                      <w:sz w:val="18"/>
                      <w:szCs w:val="18"/>
                    </w:rPr>
                  </w:pPr>
                </w:p>
              </w:tc>
            </w:tr>
            <w:tr w14:paraId="1627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3" w:type="pct"/>
                  <w:noWrap w:val="0"/>
                  <w:vAlign w:val="top"/>
                </w:tcPr>
                <w:p w14:paraId="1C7D95A4">
                  <w:pPr>
                    <w:pStyle w:val="37"/>
                    <w:spacing w:line="300" w:lineRule="exact"/>
                    <w:ind w:firstLine="0" w:firstLineChars="0"/>
                    <w:jc w:val="center"/>
                    <w:rPr>
                      <w:rFonts w:hint="eastAsia" w:ascii="Arial Unicode MS" w:hAnsi="Arial Unicode MS"/>
                      <w:sz w:val="18"/>
                      <w:szCs w:val="18"/>
                    </w:rPr>
                  </w:pPr>
                </w:p>
              </w:tc>
              <w:tc>
                <w:tcPr>
                  <w:tcW w:w="3786" w:type="pct"/>
                  <w:noWrap w:val="0"/>
                  <w:vAlign w:val="top"/>
                </w:tcPr>
                <w:p w14:paraId="15743A6A">
                  <w:pPr>
                    <w:pStyle w:val="37"/>
                    <w:spacing w:line="300" w:lineRule="exact"/>
                    <w:ind w:firstLine="0" w:firstLineChars="0"/>
                    <w:jc w:val="center"/>
                    <w:rPr>
                      <w:rFonts w:hint="eastAsia" w:ascii="Arial Unicode MS" w:hAnsi="Arial Unicode MS"/>
                      <w:sz w:val="18"/>
                      <w:szCs w:val="18"/>
                    </w:rPr>
                  </w:pPr>
                </w:p>
              </w:tc>
            </w:tr>
          </w:tbl>
          <w:p w14:paraId="70D3F7FA">
            <w:pPr>
              <w:rPr>
                <w:rFonts w:ascii="Arial Unicode MS" w:hAnsi="Arial Unicode MS"/>
                <w:sz w:val="24"/>
              </w:rPr>
            </w:pPr>
          </w:p>
          <w:p w14:paraId="614C65B1">
            <w:pPr>
              <w:rPr>
                <w:rFonts w:ascii="Arial Unicode MS" w:hAnsi="Arial Unicode MS"/>
                <w:sz w:val="24"/>
              </w:rPr>
            </w:pPr>
          </w:p>
          <w:p w14:paraId="4C71F856">
            <w:pPr>
              <w:rPr>
                <w:rFonts w:ascii="Arial Unicode MS" w:hAnsi="Arial Unicode MS"/>
                <w:sz w:val="24"/>
              </w:rPr>
            </w:pPr>
          </w:p>
          <w:p w14:paraId="35D1C1D1">
            <w:pPr>
              <w:rPr>
                <w:rFonts w:hint="eastAsia" w:ascii="Arial Unicode MS" w:hAnsi="Arial Unicode MS"/>
                <w:sz w:val="24"/>
              </w:rPr>
            </w:pPr>
            <w:r>
              <w:rPr>
                <w:rFonts w:ascii="Arial Unicode MS" w:hAnsi="Arial Unicode MS"/>
                <w:sz w:val="24"/>
              </w:rPr>
              <w:br w:type="page"/>
            </w:r>
          </w:p>
          <w:p w14:paraId="38CCFB5D">
            <w:pPr>
              <w:pStyle w:val="4"/>
              <w:numPr>
                <w:ilvl w:val="0"/>
                <w:numId w:val="0"/>
              </w:numPr>
              <w:ind w:left="720" w:hanging="720"/>
              <w:rPr>
                <w:sz w:val="28"/>
                <w:szCs w:val="28"/>
              </w:rPr>
            </w:pPr>
            <w:bookmarkStart w:id="24" w:name="_Toc16461"/>
            <w:r>
              <w:rPr>
                <w:rFonts w:hint="eastAsia"/>
                <w:sz w:val="28"/>
                <w:szCs w:val="28"/>
              </w:rPr>
              <w:t>3.2.</w:t>
            </w:r>
            <w:r>
              <w:rPr>
                <w:sz w:val="28"/>
                <w:szCs w:val="28"/>
              </w:rPr>
              <w:t xml:space="preserve">7 </w:t>
            </w:r>
            <w:r>
              <w:rPr>
                <w:rFonts w:hint="eastAsia"/>
                <w:sz w:val="28"/>
                <w:szCs w:val="28"/>
              </w:rPr>
              <w:t>改造方案汇总</w:t>
            </w:r>
            <w:bookmarkEnd w:id="24"/>
          </w:p>
          <w:p w14:paraId="5B2111C5">
            <w:pPr>
              <w:pStyle w:val="37"/>
              <w:spacing w:line="300" w:lineRule="exact"/>
              <w:ind w:firstLine="0" w:firstLineChars="0"/>
              <w:rPr>
                <w:rFonts w:hint="eastAsia" w:ascii="Arial Unicode MS" w:hAnsi="Arial Unicode MS"/>
                <w:b/>
                <w:bCs/>
                <w:sz w:val="24"/>
              </w:rPr>
            </w:pPr>
            <w:r>
              <w:rPr>
                <w:rFonts w:hint="eastAsia" w:ascii="Arial Unicode MS" w:hAnsi="Arial Unicode MS"/>
                <w:sz w:val="24"/>
              </w:rPr>
              <w:t>汇总所有改造内容，落实到联机功能点和批量功能点（批量、报表、脚本等）上</w:t>
            </w:r>
          </w:p>
          <w:tbl>
            <w:tblPr>
              <w:tblStyle w:val="24"/>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
              <w:gridCol w:w="848"/>
              <w:gridCol w:w="1253"/>
              <w:gridCol w:w="1134"/>
              <w:gridCol w:w="4870"/>
            </w:tblGrid>
            <w:tr w14:paraId="0BB99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shd w:val="clear" w:color="auto" w:fill="BEBEBE"/>
                  <w:noWrap w:val="0"/>
                  <w:vAlign w:val="center"/>
                </w:tcPr>
                <w:p w14:paraId="2E690FA3">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序号</w:t>
                  </w:r>
                </w:p>
              </w:tc>
              <w:tc>
                <w:tcPr>
                  <w:tcW w:w="848" w:type="dxa"/>
                  <w:shd w:val="clear" w:color="auto" w:fill="BEBEBE"/>
                  <w:noWrap w:val="0"/>
                  <w:vAlign w:val="top"/>
                </w:tcPr>
                <w:p w14:paraId="48941BD1">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功能点编号</w:t>
                  </w:r>
                </w:p>
              </w:tc>
              <w:tc>
                <w:tcPr>
                  <w:tcW w:w="1253" w:type="dxa"/>
                  <w:shd w:val="clear" w:color="auto" w:fill="BEBEBE"/>
                  <w:noWrap w:val="0"/>
                  <w:vAlign w:val="center"/>
                </w:tcPr>
                <w:p w14:paraId="65CFF2E4">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功能点名称</w:t>
                  </w:r>
                </w:p>
              </w:tc>
              <w:tc>
                <w:tcPr>
                  <w:tcW w:w="1134" w:type="dxa"/>
                  <w:shd w:val="clear" w:color="auto" w:fill="BEBEBE"/>
                  <w:noWrap w:val="0"/>
                  <w:vAlign w:val="top"/>
                </w:tcPr>
                <w:p w14:paraId="65BFF453">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类型（联机/批量）</w:t>
                  </w:r>
                </w:p>
              </w:tc>
              <w:tc>
                <w:tcPr>
                  <w:tcW w:w="4870" w:type="dxa"/>
                  <w:shd w:val="clear" w:color="auto" w:fill="BEBEBE"/>
                  <w:noWrap w:val="0"/>
                  <w:vAlign w:val="top"/>
                </w:tcPr>
                <w:p w14:paraId="2866D867">
                  <w:pPr>
                    <w:pStyle w:val="38"/>
                    <w:jc w:val="center"/>
                    <w:rPr>
                      <w:rFonts w:hint="eastAsia" w:ascii="宋体" w:hAnsi="宋体"/>
                      <w:b/>
                      <w:color w:val="auto"/>
                      <w:sz w:val="20"/>
                      <w:szCs w:val="20"/>
                      <w:lang w:eastAsia="zh-CN"/>
                    </w:rPr>
                  </w:pPr>
                  <w:r>
                    <w:rPr>
                      <w:rFonts w:hint="eastAsia" w:ascii="宋体" w:hAnsi="宋体"/>
                      <w:b/>
                      <w:color w:val="auto"/>
                      <w:sz w:val="20"/>
                      <w:szCs w:val="20"/>
                      <w:lang w:eastAsia="zh-CN"/>
                    </w:rPr>
                    <w:t>改造内容</w:t>
                  </w:r>
                </w:p>
              </w:tc>
            </w:tr>
            <w:tr w14:paraId="49DA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noWrap w:val="0"/>
                  <w:vAlign w:val="top"/>
                </w:tcPr>
                <w:p w14:paraId="44CFD6FD">
                  <w:pPr>
                    <w:pStyle w:val="37"/>
                    <w:spacing w:line="300" w:lineRule="exact"/>
                    <w:ind w:firstLine="0" w:firstLineChars="0"/>
                    <w:jc w:val="center"/>
                    <w:rPr>
                      <w:rFonts w:hint="eastAsia" w:ascii="宋体" w:hAnsi="宋体" w:eastAsia="宋体"/>
                      <w:sz w:val="18"/>
                      <w:szCs w:val="18"/>
                      <w:lang w:val="en-US"/>
                    </w:rPr>
                  </w:pPr>
                  <w:r>
                    <w:rPr>
                      <w:rFonts w:hint="eastAsia" w:ascii="宋体" w:hAnsi="宋体" w:eastAsia="宋体"/>
                      <w:sz w:val="18"/>
                      <w:szCs w:val="18"/>
                      <w:lang w:val="en-US"/>
                    </w:rPr>
                    <w:t>1</w:t>
                  </w:r>
                </w:p>
              </w:tc>
              <w:tc>
                <w:tcPr>
                  <w:tcW w:w="848" w:type="dxa"/>
                  <w:noWrap w:val="0"/>
                  <w:vAlign w:val="top"/>
                </w:tcPr>
                <w:p w14:paraId="08C87BDF">
                  <w:pPr>
                    <w:pStyle w:val="37"/>
                    <w:spacing w:line="300" w:lineRule="exact"/>
                    <w:ind w:firstLine="0" w:firstLineChars="0"/>
                    <w:jc w:val="center"/>
                    <w:rPr>
                      <w:rFonts w:hint="eastAsia" w:ascii="宋体" w:hAnsi="宋体" w:eastAsia="宋体"/>
                      <w:sz w:val="18"/>
                      <w:szCs w:val="18"/>
                    </w:rPr>
                  </w:pPr>
                </w:p>
              </w:tc>
              <w:tc>
                <w:tcPr>
                  <w:tcW w:w="1253" w:type="dxa"/>
                  <w:noWrap w:val="0"/>
                  <w:vAlign w:val="top"/>
                </w:tcPr>
                <w:p w14:paraId="4507D109">
                  <w:pPr>
                    <w:pStyle w:val="37"/>
                    <w:spacing w:line="300" w:lineRule="exact"/>
                    <w:ind w:firstLine="0" w:firstLineChars="0"/>
                    <w:jc w:val="center"/>
                    <w:rPr>
                      <w:rFonts w:hint="eastAsia" w:ascii="宋体" w:hAnsi="宋体" w:eastAsia="宋体"/>
                      <w:sz w:val="18"/>
                      <w:szCs w:val="18"/>
                    </w:rPr>
                  </w:pPr>
                </w:p>
              </w:tc>
              <w:tc>
                <w:tcPr>
                  <w:tcW w:w="1134" w:type="dxa"/>
                  <w:noWrap w:val="0"/>
                  <w:vAlign w:val="top"/>
                </w:tcPr>
                <w:p w14:paraId="632ADF9D">
                  <w:pPr>
                    <w:pStyle w:val="37"/>
                    <w:spacing w:line="300" w:lineRule="exact"/>
                    <w:ind w:firstLine="0" w:firstLineChars="0"/>
                    <w:rPr>
                      <w:rFonts w:hint="eastAsia" w:ascii="宋体" w:hAnsi="宋体" w:eastAsia="宋体"/>
                      <w:sz w:val="18"/>
                      <w:szCs w:val="18"/>
                    </w:rPr>
                  </w:pPr>
                </w:p>
              </w:tc>
              <w:tc>
                <w:tcPr>
                  <w:tcW w:w="4870" w:type="dxa"/>
                  <w:noWrap w:val="0"/>
                  <w:vAlign w:val="top"/>
                </w:tcPr>
                <w:p w14:paraId="3BEE8744">
                  <w:pPr>
                    <w:pStyle w:val="37"/>
                    <w:spacing w:line="300" w:lineRule="exact"/>
                    <w:ind w:firstLine="0" w:firstLineChars="0"/>
                    <w:rPr>
                      <w:rFonts w:ascii="等线" w:hAnsi="Calibri" w:eastAsia="等线" w:cs="等线"/>
                      <w:color w:val="000000"/>
                      <w:sz w:val="22"/>
                      <w:szCs w:val="22"/>
                    </w:rPr>
                  </w:pPr>
                </w:p>
              </w:tc>
            </w:tr>
            <w:tr w14:paraId="0760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noWrap w:val="0"/>
                  <w:vAlign w:val="top"/>
                </w:tcPr>
                <w:p w14:paraId="19ECB9E9">
                  <w:pPr>
                    <w:pStyle w:val="37"/>
                    <w:spacing w:line="300" w:lineRule="exact"/>
                    <w:ind w:firstLine="0" w:firstLineChars="0"/>
                    <w:jc w:val="center"/>
                    <w:rPr>
                      <w:rFonts w:hint="eastAsia" w:ascii="宋体" w:hAnsi="宋体" w:eastAsia="宋体" w:cs="等线"/>
                      <w:color w:val="000000"/>
                      <w:sz w:val="18"/>
                      <w:szCs w:val="18"/>
                      <w:lang w:val="en-US"/>
                    </w:rPr>
                  </w:pPr>
                  <w:r>
                    <w:rPr>
                      <w:rFonts w:hint="eastAsia" w:ascii="宋体" w:hAnsi="宋体" w:eastAsia="宋体" w:cs="等线"/>
                      <w:color w:val="000000"/>
                      <w:sz w:val="18"/>
                      <w:szCs w:val="18"/>
                      <w:lang w:val="en-US"/>
                    </w:rPr>
                    <w:t>2</w:t>
                  </w:r>
                </w:p>
              </w:tc>
              <w:tc>
                <w:tcPr>
                  <w:tcW w:w="848" w:type="dxa"/>
                  <w:noWrap w:val="0"/>
                  <w:vAlign w:val="top"/>
                </w:tcPr>
                <w:p w14:paraId="5993D1FD">
                  <w:pPr>
                    <w:pStyle w:val="37"/>
                    <w:spacing w:line="300" w:lineRule="exact"/>
                    <w:ind w:firstLine="0" w:firstLineChars="0"/>
                    <w:jc w:val="center"/>
                    <w:rPr>
                      <w:rFonts w:hint="eastAsia" w:ascii="宋体" w:hAnsi="宋体" w:eastAsia="宋体" w:cs="等线"/>
                      <w:color w:val="000000"/>
                      <w:sz w:val="18"/>
                      <w:szCs w:val="18"/>
                    </w:rPr>
                  </w:pPr>
                </w:p>
              </w:tc>
              <w:tc>
                <w:tcPr>
                  <w:tcW w:w="1253" w:type="dxa"/>
                  <w:noWrap w:val="0"/>
                  <w:vAlign w:val="top"/>
                </w:tcPr>
                <w:p w14:paraId="7FADB212">
                  <w:pPr>
                    <w:pStyle w:val="37"/>
                    <w:spacing w:line="300" w:lineRule="exact"/>
                    <w:ind w:firstLine="0" w:firstLineChars="0"/>
                    <w:jc w:val="center"/>
                    <w:rPr>
                      <w:rFonts w:hint="eastAsia" w:ascii="宋体" w:hAnsi="宋体" w:eastAsia="宋体" w:cs="等线"/>
                      <w:color w:val="000000"/>
                      <w:sz w:val="18"/>
                      <w:szCs w:val="18"/>
                    </w:rPr>
                  </w:pPr>
                </w:p>
              </w:tc>
              <w:tc>
                <w:tcPr>
                  <w:tcW w:w="1134" w:type="dxa"/>
                  <w:noWrap w:val="0"/>
                  <w:vAlign w:val="top"/>
                </w:tcPr>
                <w:p w14:paraId="2EC96D25">
                  <w:pPr>
                    <w:pStyle w:val="37"/>
                    <w:spacing w:line="300" w:lineRule="exact"/>
                    <w:ind w:firstLine="0" w:firstLineChars="0"/>
                    <w:rPr>
                      <w:rFonts w:hint="eastAsia" w:ascii="宋体" w:hAnsi="宋体" w:eastAsia="宋体" w:cs="等线"/>
                      <w:color w:val="000000"/>
                      <w:sz w:val="18"/>
                      <w:szCs w:val="18"/>
                    </w:rPr>
                  </w:pPr>
                </w:p>
              </w:tc>
              <w:tc>
                <w:tcPr>
                  <w:tcW w:w="4870" w:type="dxa"/>
                  <w:noWrap w:val="0"/>
                  <w:vAlign w:val="top"/>
                </w:tcPr>
                <w:p w14:paraId="6607C626">
                  <w:pPr>
                    <w:pStyle w:val="37"/>
                    <w:spacing w:line="300" w:lineRule="exact"/>
                    <w:ind w:firstLine="0" w:firstLineChars="0"/>
                    <w:rPr>
                      <w:rFonts w:ascii="等线" w:hAnsi="Calibri" w:eastAsia="等线" w:cs="等线"/>
                      <w:color w:val="000000"/>
                      <w:sz w:val="22"/>
                      <w:szCs w:val="22"/>
                    </w:rPr>
                  </w:pPr>
                </w:p>
              </w:tc>
            </w:tr>
            <w:tr w14:paraId="1D89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 w:type="dxa"/>
                  <w:noWrap w:val="0"/>
                  <w:vAlign w:val="top"/>
                </w:tcPr>
                <w:p w14:paraId="144CD04E">
                  <w:pPr>
                    <w:pStyle w:val="37"/>
                    <w:spacing w:line="300" w:lineRule="exact"/>
                    <w:ind w:firstLine="0" w:firstLineChars="0"/>
                    <w:jc w:val="center"/>
                    <w:rPr>
                      <w:rFonts w:hint="eastAsia" w:ascii="宋体" w:hAnsi="宋体" w:eastAsia="宋体" w:cs="等线"/>
                      <w:color w:val="000000"/>
                      <w:sz w:val="18"/>
                      <w:szCs w:val="18"/>
                      <w:lang w:val="en-US"/>
                    </w:rPr>
                  </w:pPr>
                  <w:r>
                    <w:rPr>
                      <w:rFonts w:hint="eastAsia" w:ascii="宋体" w:hAnsi="宋体" w:eastAsia="宋体" w:cs="等线"/>
                      <w:color w:val="000000"/>
                      <w:sz w:val="18"/>
                      <w:szCs w:val="18"/>
                      <w:lang w:val="en-US"/>
                    </w:rPr>
                    <w:t>3</w:t>
                  </w:r>
                </w:p>
              </w:tc>
              <w:tc>
                <w:tcPr>
                  <w:tcW w:w="848" w:type="dxa"/>
                  <w:noWrap w:val="0"/>
                  <w:vAlign w:val="top"/>
                </w:tcPr>
                <w:p w14:paraId="7933A1A7">
                  <w:pPr>
                    <w:pStyle w:val="37"/>
                    <w:spacing w:line="300" w:lineRule="exact"/>
                    <w:ind w:firstLine="0" w:firstLineChars="0"/>
                    <w:jc w:val="center"/>
                    <w:rPr>
                      <w:rFonts w:hint="eastAsia" w:ascii="宋体" w:hAnsi="宋体" w:eastAsia="宋体" w:cs="等线"/>
                      <w:color w:val="000000"/>
                      <w:sz w:val="18"/>
                      <w:szCs w:val="18"/>
                    </w:rPr>
                  </w:pPr>
                </w:p>
              </w:tc>
              <w:tc>
                <w:tcPr>
                  <w:tcW w:w="1253" w:type="dxa"/>
                  <w:noWrap w:val="0"/>
                  <w:vAlign w:val="top"/>
                </w:tcPr>
                <w:p w14:paraId="61F9DF44">
                  <w:pPr>
                    <w:pStyle w:val="37"/>
                    <w:spacing w:line="300" w:lineRule="exact"/>
                    <w:ind w:firstLine="0" w:firstLineChars="0"/>
                    <w:jc w:val="center"/>
                    <w:rPr>
                      <w:rFonts w:hint="eastAsia" w:ascii="宋体" w:hAnsi="宋体" w:eastAsia="宋体" w:cs="等线"/>
                      <w:color w:val="000000"/>
                      <w:sz w:val="18"/>
                      <w:szCs w:val="18"/>
                    </w:rPr>
                  </w:pPr>
                </w:p>
              </w:tc>
              <w:tc>
                <w:tcPr>
                  <w:tcW w:w="1134" w:type="dxa"/>
                  <w:noWrap w:val="0"/>
                  <w:vAlign w:val="top"/>
                </w:tcPr>
                <w:p w14:paraId="55563DBC">
                  <w:pPr>
                    <w:pStyle w:val="37"/>
                    <w:spacing w:line="300" w:lineRule="exact"/>
                    <w:ind w:firstLine="0" w:firstLineChars="0"/>
                    <w:rPr>
                      <w:rFonts w:hint="eastAsia" w:ascii="宋体" w:hAnsi="宋体" w:eastAsia="宋体" w:cs="等线"/>
                      <w:color w:val="000000"/>
                      <w:sz w:val="18"/>
                      <w:szCs w:val="18"/>
                    </w:rPr>
                  </w:pPr>
                </w:p>
              </w:tc>
              <w:tc>
                <w:tcPr>
                  <w:tcW w:w="4870" w:type="dxa"/>
                  <w:noWrap w:val="0"/>
                  <w:vAlign w:val="top"/>
                </w:tcPr>
                <w:p w14:paraId="02407E75">
                  <w:pPr>
                    <w:pStyle w:val="37"/>
                    <w:spacing w:line="300" w:lineRule="exact"/>
                    <w:ind w:firstLine="0" w:firstLineChars="0"/>
                    <w:rPr>
                      <w:rFonts w:ascii="等线" w:hAnsi="Calibri" w:eastAsia="等线" w:cs="等线"/>
                      <w:color w:val="000000"/>
                      <w:sz w:val="22"/>
                      <w:szCs w:val="22"/>
                    </w:rPr>
                  </w:pPr>
                </w:p>
              </w:tc>
            </w:tr>
          </w:tbl>
          <w:p w14:paraId="1C38EB27">
            <w:pPr>
              <w:pStyle w:val="37"/>
              <w:spacing w:line="300" w:lineRule="exact"/>
              <w:ind w:firstLine="480"/>
              <w:rPr>
                <w:rFonts w:hint="eastAsia" w:ascii="Arial Unicode MS" w:hAnsi="Arial Unicode MS"/>
                <w:sz w:val="24"/>
              </w:rPr>
            </w:pPr>
          </w:p>
          <w:p w14:paraId="700B65E4">
            <w:pPr>
              <w:numPr>
                <w:ilvl w:val="0"/>
                <w:numId w:val="0"/>
              </w:numPr>
              <w:bidi w:val="0"/>
              <w:ind w:leftChars="0"/>
            </w:pPr>
            <w:bookmarkStart w:id="25" w:name="_Toc11037"/>
          </w:p>
          <w:p w14:paraId="4E03DB05">
            <w:pPr>
              <w:pStyle w:val="2"/>
              <w:pageBreakBefore/>
              <w:numPr>
                <w:ilvl w:val="0"/>
                <w:numId w:val="0"/>
              </w:numPr>
              <w:autoSpaceDE w:val="0"/>
              <w:autoSpaceDN w:val="0"/>
              <w:adjustRightInd w:val="0"/>
              <w:spacing w:before="480" w:after="240" w:line="300" w:lineRule="exact"/>
              <w:ind w:leftChars="0"/>
              <w:jc w:val="left"/>
              <w:rPr>
                <w:rFonts w:hint="eastAsia"/>
              </w:rPr>
            </w:pPr>
          </w:p>
          <w:p w14:paraId="4BB14B0A">
            <w:pPr>
              <w:pStyle w:val="2"/>
              <w:pageBreakBefore/>
              <w:numPr>
                <w:ilvl w:val="0"/>
                <w:numId w:val="0"/>
              </w:numPr>
              <w:autoSpaceDE w:val="0"/>
              <w:autoSpaceDN w:val="0"/>
              <w:adjustRightInd w:val="0"/>
              <w:spacing w:before="480" w:after="240" w:line="300" w:lineRule="exact"/>
              <w:ind w:leftChars="0"/>
              <w:jc w:val="left"/>
              <w:rPr>
                <w:rFonts w:hint="eastAsia"/>
              </w:rPr>
            </w:pPr>
          </w:p>
          <w:p w14:paraId="3FF6BB81">
            <w:pPr>
              <w:pStyle w:val="2"/>
              <w:pageBreakBefore/>
              <w:numPr>
                <w:ilvl w:val="0"/>
                <w:numId w:val="4"/>
              </w:numPr>
              <w:autoSpaceDE w:val="0"/>
              <w:autoSpaceDN w:val="0"/>
              <w:adjustRightInd w:val="0"/>
              <w:spacing w:before="480" w:after="240" w:line="300" w:lineRule="exact"/>
              <w:ind w:left="432" w:leftChars="0" w:hanging="432" w:firstLineChars="0"/>
              <w:jc w:val="left"/>
            </w:pPr>
            <w:r>
              <w:rPr>
                <w:rFonts w:hint="eastAsia"/>
              </w:rPr>
              <w:t>风险评估</w:t>
            </w:r>
            <w:bookmarkEnd w:id="25"/>
          </w:p>
          <w:p w14:paraId="6C539A2A">
            <w:pPr>
              <w:pStyle w:val="3"/>
              <w:numPr>
                <w:ilvl w:val="1"/>
                <w:numId w:val="5"/>
              </w:numPr>
              <w:autoSpaceDE w:val="0"/>
              <w:autoSpaceDN w:val="0"/>
              <w:adjustRightInd w:val="0"/>
              <w:spacing w:before="120" w:after="120" w:line="300" w:lineRule="exact"/>
              <w:jc w:val="left"/>
            </w:pPr>
            <w:bookmarkStart w:id="26" w:name="_Toc32281"/>
            <w:r>
              <w:rPr>
                <w:rFonts w:hint="eastAsia"/>
              </w:rPr>
              <w:t>改造技术风险</w:t>
            </w:r>
            <w:bookmarkEnd w:id="26"/>
          </w:p>
          <w:p w14:paraId="7751F438">
            <w:pPr>
              <w:pStyle w:val="37"/>
              <w:spacing w:line="300" w:lineRule="exact"/>
              <w:ind w:firstLine="480"/>
              <w:rPr>
                <w:rFonts w:hint="eastAsia" w:ascii="微软雅黑 Light" w:hAnsi="微软雅黑 Light" w:eastAsia="微软雅黑 Light" w:cs="微软雅黑 Light"/>
                <w:kern w:val="0"/>
                <w:sz w:val="22"/>
                <w:lang w:val="en-US" w:eastAsia="zh-CN" w:bidi="ar-SA"/>
              </w:rPr>
            </w:pPr>
            <w:r>
              <w:rPr>
                <w:rFonts w:hint="eastAsia" w:ascii="微软雅黑 Light" w:hAnsi="微软雅黑 Light" w:eastAsia="微软雅黑 Light" w:cs="微软雅黑 Light"/>
                <w:kern w:val="0"/>
                <w:sz w:val="22"/>
                <w:lang w:val="en-US" w:eastAsia="zh-CN" w:bidi="ar-SA"/>
              </w:rPr>
              <w:t>暂无</w:t>
            </w:r>
          </w:p>
          <w:p w14:paraId="5C0C0616">
            <w:pPr>
              <w:pStyle w:val="3"/>
              <w:numPr>
                <w:ilvl w:val="1"/>
                <w:numId w:val="5"/>
              </w:numPr>
              <w:autoSpaceDE w:val="0"/>
              <w:autoSpaceDN w:val="0"/>
              <w:adjustRightInd w:val="0"/>
              <w:spacing w:before="120" w:after="120" w:line="300" w:lineRule="exact"/>
              <w:jc w:val="left"/>
            </w:pPr>
            <w:bookmarkStart w:id="27" w:name="_Toc25427"/>
            <w:r>
              <w:rPr>
                <w:rFonts w:hint="eastAsia"/>
              </w:rPr>
              <w:t>实施风险</w:t>
            </w:r>
            <w:bookmarkEnd w:id="27"/>
          </w:p>
          <w:p w14:paraId="535FA401">
            <w:pPr>
              <w:pStyle w:val="37"/>
              <w:spacing w:line="300" w:lineRule="exact"/>
              <w:ind w:firstLine="480"/>
              <w:rPr>
                <w:rFonts w:hint="default" w:ascii="微软雅黑 Light" w:hAnsi="微软雅黑 Light" w:eastAsia="微软雅黑 Light" w:cs="微软雅黑 Light"/>
                <w:kern w:val="0"/>
                <w:sz w:val="22"/>
                <w:lang w:val="en-US" w:eastAsia="zh-CN" w:bidi="ar-SA"/>
              </w:rPr>
            </w:pPr>
            <w:r>
              <w:rPr>
                <w:rFonts w:hint="eastAsia" w:ascii="微软雅黑 Light" w:hAnsi="微软雅黑 Light" w:eastAsia="微软雅黑 Light" w:cs="微软雅黑 Light"/>
                <w:kern w:val="0"/>
                <w:sz w:val="22"/>
                <w:lang w:val="en-US" w:eastAsia="zh-CN" w:bidi="ar-SA"/>
              </w:rPr>
              <w:t>预计本需求实施过程中，支付中台在项目二期阶段，改造任务多，存在延期上线风险。</w:t>
            </w:r>
          </w:p>
          <w:p w14:paraId="04238BF1">
            <w:pPr>
              <w:pStyle w:val="2"/>
              <w:pageBreakBefore/>
              <w:numPr>
                <w:ilvl w:val="0"/>
                <w:numId w:val="4"/>
              </w:numPr>
              <w:autoSpaceDE w:val="0"/>
              <w:autoSpaceDN w:val="0"/>
              <w:adjustRightInd w:val="0"/>
              <w:spacing w:before="480" w:after="240" w:line="300" w:lineRule="exact"/>
              <w:jc w:val="left"/>
            </w:pPr>
            <w:bookmarkStart w:id="28" w:name="_Toc4043"/>
            <w:r>
              <w:rPr>
                <w:rFonts w:hint="eastAsia"/>
              </w:rPr>
              <w:t>待定事宜</w:t>
            </w:r>
            <w:bookmarkEnd w:id="28"/>
          </w:p>
          <w:tbl>
            <w:tblPr>
              <w:tblStyle w:val="24"/>
              <w:tblW w:w="0" w:type="auto"/>
              <w:tblInd w:w="2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9"/>
              <w:gridCol w:w="3827"/>
              <w:gridCol w:w="1276"/>
              <w:gridCol w:w="1559"/>
              <w:gridCol w:w="901"/>
            </w:tblGrid>
            <w:tr w14:paraId="1BEE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9" w:type="dxa"/>
                  <w:shd w:val="clear" w:color="auto" w:fill="D8D8D8"/>
                  <w:noWrap w:val="0"/>
                  <w:vAlign w:val="top"/>
                </w:tcPr>
                <w:p w14:paraId="0C9BA785">
                  <w:pPr>
                    <w:jc w:val="center"/>
                    <w:rPr>
                      <w:rFonts w:hint="eastAsia" w:ascii="宋体" w:hAnsi="宋体" w:eastAsia="宋体"/>
                      <w:szCs w:val="21"/>
                    </w:rPr>
                  </w:pPr>
                  <w:r>
                    <w:rPr>
                      <w:rFonts w:hint="eastAsia" w:ascii="宋体" w:hAnsi="宋体" w:eastAsia="宋体"/>
                      <w:szCs w:val="21"/>
                    </w:rPr>
                    <w:t>序号</w:t>
                  </w:r>
                </w:p>
              </w:tc>
              <w:tc>
                <w:tcPr>
                  <w:tcW w:w="3827" w:type="dxa"/>
                  <w:shd w:val="clear" w:color="auto" w:fill="D8D8D8"/>
                  <w:noWrap w:val="0"/>
                  <w:vAlign w:val="center"/>
                </w:tcPr>
                <w:p w14:paraId="1E2A21A4">
                  <w:pPr>
                    <w:jc w:val="center"/>
                    <w:rPr>
                      <w:rFonts w:hint="eastAsia" w:ascii="宋体" w:hAnsi="宋体" w:eastAsia="宋体" w:cs="宋体"/>
                      <w:color w:val="000000"/>
                      <w:szCs w:val="21"/>
                    </w:rPr>
                  </w:pPr>
                  <w:r>
                    <w:rPr>
                      <w:rFonts w:hint="eastAsia" w:ascii="宋体" w:hAnsi="宋体" w:eastAsia="宋体" w:cs="宋体"/>
                      <w:color w:val="000000"/>
                      <w:szCs w:val="21"/>
                    </w:rPr>
                    <w:t>待解决事宜</w:t>
                  </w:r>
                </w:p>
              </w:tc>
              <w:tc>
                <w:tcPr>
                  <w:tcW w:w="1276" w:type="dxa"/>
                  <w:shd w:val="clear" w:color="auto" w:fill="D8D8D8"/>
                  <w:noWrap w:val="0"/>
                  <w:vAlign w:val="center"/>
                </w:tcPr>
                <w:p w14:paraId="1B3682E7">
                  <w:pPr>
                    <w:jc w:val="center"/>
                    <w:rPr>
                      <w:rFonts w:hint="eastAsia" w:ascii="宋体" w:hAnsi="宋体" w:eastAsia="宋体" w:cs="宋体"/>
                      <w:color w:val="000000"/>
                      <w:szCs w:val="21"/>
                    </w:rPr>
                  </w:pPr>
                  <w:r>
                    <w:rPr>
                      <w:rFonts w:hint="eastAsia" w:ascii="宋体" w:hAnsi="宋体" w:eastAsia="宋体" w:cs="宋体"/>
                      <w:color w:val="000000"/>
                      <w:szCs w:val="21"/>
                    </w:rPr>
                    <w:t>解决人</w:t>
                  </w:r>
                </w:p>
              </w:tc>
              <w:tc>
                <w:tcPr>
                  <w:tcW w:w="1559" w:type="dxa"/>
                  <w:shd w:val="clear" w:color="auto" w:fill="D8D8D8"/>
                  <w:noWrap w:val="0"/>
                  <w:vAlign w:val="center"/>
                </w:tcPr>
                <w:p w14:paraId="5D1B49B5">
                  <w:pPr>
                    <w:jc w:val="center"/>
                    <w:rPr>
                      <w:rFonts w:hint="eastAsia" w:ascii="宋体" w:hAnsi="宋体" w:eastAsia="宋体" w:cs="宋体"/>
                      <w:color w:val="000000"/>
                      <w:szCs w:val="21"/>
                    </w:rPr>
                  </w:pPr>
                  <w:r>
                    <w:rPr>
                      <w:rFonts w:hint="eastAsia" w:ascii="宋体" w:hAnsi="宋体" w:eastAsia="宋体" w:cs="宋体"/>
                      <w:color w:val="000000"/>
                      <w:szCs w:val="21"/>
                    </w:rPr>
                    <w:t>希望解决日期</w:t>
                  </w:r>
                </w:p>
              </w:tc>
              <w:tc>
                <w:tcPr>
                  <w:tcW w:w="901" w:type="dxa"/>
                  <w:shd w:val="clear" w:color="auto" w:fill="D8D8D8"/>
                  <w:noWrap w:val="0"/>
                  <w:vAlign w:val="top"/>
                </w:tcPr>
                <w:p w14:paraId="7B7ACE7F">
                  <w:pPr>
                    <w:jc w:val="center"/>
                    <w:rPr>
                      <w:rFonts w:hint="eastAsia" w:ascii="宋体" w:hAnsi="宋体" w:eastAsia="宋体" w:cs="宋体"/>
                      <w:color w:val="000000"/>
                      <w:szCs w:val="21"/>
                    </w:rPr>
                  </w:pPr>
                  <w:r>
                    <w:rPr>
                      <w:rFonts w:hint="eastAsia" w:ascii="宋体" w:hAnsi="宋体" w:eastAsia="宋体" w:cs="宋体"/>
                      <w:color w:val="000000"/>
                      <w:szCs w:val="21"/>
                    </w:rPr>
                    <w:t>状态</w:t>
                  </w:r>
                </w:p>
              </w:tc>
            </w:tr>
            <w:tr w14:paraId="2B2B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9" w:type="dxa"/>
                  <w:noWrap w:val="0"/>
                  <w:vAlign w:val="top"/>
                </w:tcPr>
                <w:p w14:paraId="021756AA">
                  <w:pPr>
                    <w:jc w:val="center"/>
                    <w:rPr>
                      <w:rFonts w:hint="eastAsia" w:ascii="宋体" w:hAnsi="宋体" w:eastAsia="宋体"/>
                      <w:szCs w:val="21"/>
                    </w:rPr>
                  </w:pPr>
                  <w:r>
                    <w:rPr>
                      <w:rFonts w:hint="eastAsia" w:ascii="宋体" w:hAnsi="宋体" w:eastAsia="宋体"/>
                      <w:szCs w:val="21"/>
                    </w:rPr>
                    <w:t>1</w:t>
                  </w:r>
                </w:p>
              </w:tc>
              <w:tc>
                <w:tcPr>
                  <w:tcW w:w="3827" w:type="dxa"/>
                  <w:noWrap w:val="0"/>
                  <w:vAlign w:val="top"/>
                </w:tcPr>
                <w:p w14:paraId="131F9432">
                  <w:pPr>
                    <w:jc w:val="left"/>
                    <w:rPr>
                      <w:rFonts w:hint="eastAsia" w:ascii="宋体" w:hAnsi="宋体" w:eastAsia="宋体"/>
                      <w:szCs w:val="21"/>
                    </w:rPr>
                  </w:pPr>
                </w:p>
              </w:tc>
              <w:tc>
                <w:tcPr>
                  <w:tcW w:w="1276" w:type="dxa"/>
                  <w:noWrap w:val="0"/>
                  <w:vAlign w:val="top"/>
                </w:tcPr>
                <w:p w14:paraId="7179BAD0">
                  <w:pPr>
                    <w:jc w:val="left"/>
                    <w:rPr>
                      <w:rFonts w:hint="eastAsia" w:ascii="宋体" w:hAnsi="宋体" w:eastAsia="宋体"/>
                      <w:szCs w:val="21"/>
                    </w:rPr>
                  </w:pPr>
                </w:p>
              </w:tc>
              <w:tc>
                <w:tcPr>
                  <w:tcW w:w="1559" w:type="dxa"/>
                  <w:noWrap w:val="0"/>
                  <w:vAlign w:val="top"/>
                </w:tcPr>
                <w:p w14:paraId="00E7B270">
                  <w:pPr>
                    <w:jc w:val="left"/>
                    <w:rPr>
                      <w:rFonts w:hint="eastAsia" w:ascii="宋体" w:hAnsi="宋体" w:eastAsia="宋体"/>
                      <w:szCs w:val="21"/>
                    </w:rPr>
                  </w:pPr>
                </w:p>
              </w:tc>
              <w:tc>
                <w:tcPr>
                  <w:tcW w:w="901" w:type="dxa"/>
                  <w:noWrap w:val="0"/>
                  <w:vAlign w:val="top"/>
                </w:tcPr>
                <w:p w14:paraId="2BCC26F1">
                  <w:pPr>
                    <w:jc w:val="center"/>
                    <w:rPr>
                      <w:rFonts w:hint="eastAsia" w:ascii="宋体" w:hAnsi="宋体" w:eastAsia="宋体"/>
                      <w:szCs w:val="21"/>
                    </w:rPr>
                  </w:pPr>
                </w:p>
              </w:tc>
            </w:tr>
            <w:tr w14:paraId="42B7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9" w:type="dxa"/>
                  <w:noWrap w:val="0"/>
                  <w:vAlign w:val="top"/>
                </w:tcPr>
                <w:p w14:paraId="09E51AF4">
                  <w:pPr>
                    <w:jc w:val="center"/>
                    <w:rPr>
                      <w:rFonts w:hint="eastAsia" w:ascii="宋体" w:hAnsi="宋体" w:eastAsia="宋体"/>
                      <w:szCs w:val="21"/>
                    </w:rPr>
                  </w:pPr>
                  <w:r>
                    <w:rPr>
                      <w:rFonts w:hint="eastAsia" w:ascii="宋体" w:hAnsi="宋体" w:eastAsia="宋体"/>
                      <w:szCs w:val="21"/>
                    </w:rPr>
                    <w:t>2</w:t>
                  </w:r>
                </w:p>
              </w:tc>
              <w:tc>
                <w:tcPr>
                  <w:tcW w:w="3827" w:type="dxa"/>
                  <w:noWrap w:val="0"/>
                  <w:vAlign w:val="top"/>
                </w:tcPr>
                <w:p w14:paraId="61529BB6">
                  <w:pPr>
                    <w:jc w:val="left"/>
                    <w:rPr>
                      <w:rFonts w:hint="eastAsia" w:ascii="宋体" w:hAnsi="宋体" w:eastAsia="宋体"/>
                      <w:szCs w:val="21"/>
                    </w:rPr>
                  </w:pPr>
                </w:p>
              </w:tc>
              <w:tc>
                <w:tcPr>
                  <w:tcW w:w="1276" w:type="dxa"/>
                  <w:noWrap w:val="0"/>
                  <w:vAlign w:val="top"/>
                </w:tcPr>
                <w:p w14:paraId="045A12DC">
                  <w:pPr>
                    <w:jc w:val="left"/>
                    <w:rPr>
                      <w:rFonts w:hint="eastAsia" w:ascii="宋体" w:hAnsi="宋体" w:eastAsia="宋体"/>
                      <w:szCs w:val="21"/>
                    </w:rPr>
                  </w:pPr>
                </w:p>
              </w:tc>
              <w:tc>
                <w:tcPr>
                  <w:tcW w:w="1559" w:type="dxa"/>
                  <w:noWrap w:val="0"/>
                  <w:vAlign w:val="top"/>
                </w:tcPr>
                <w:p w14:paraId="6B9ECDDF">
                  <w:pPr>
                    <w:jc w:val="left"/>
                    <w:rPr>
                      <w:rFonts w:hint="eastAsia" w:ascii="宋体" w:hAnsi="宋体" w:eastAsia="宋体"/>
                      <w:szCs w:val="21"/>
                    </w:rPr>
                  </w:pPr>
                </w:p>
              </w:tc>
              <w:tc>
                <w:tcPr>
                  <w:tcW w:w="901" w:type="dxa"/>
                  <w:noWrap w:val="0"/>
                  <w:vAlign w:val="top"/>
                </w:tcPr>
                <w:p w14:paraId="519C2867">
                  <w:pPr>
                    <w:jc w:val="center"/>
                    <w:rPr>
                      <w:rFonts w:hint="eastAsia" w:ascii="宋体" w:hAnsi="宋体" w:eastAsia="宋体"/>
                      <w:szCs w:val="21"/>
                    </w:rPr>
                  </w:pPr>
                </w:p>
              </w:tc>
            </w:tr>
            <w:tr w14:paraId="1C7E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9" w:type="dxa"/>
                  <w:noWrap w:val="0"/>
                  <w:vAlign w:val="top"/>
                </w:tcPr>
                <w:p w14:paraId="22B55577">
                  <w:pPr>
                    <w:jc w:val="center"/>
                    <w:rPr>
                      <w:rFonts w:hint="eastAsia" w:ascii="宋体" w:hAnsi="宋体" w:eastAsia="宋体"/>
                      <w:szCs w:val="21"/>
                    </w:rPr>
                  </w:pPr>
                  <w:r>
                    <w:rPr>
                      <w:rFonts w:hint="eastAsia" w:ascii="宋体" w:hAnsi="宋体" w:eastAsia="宋体"/>
                      <w:szCs w:val="21"/>
                    </w:rPr>
                    <w:t>3</w:t>
                  </w:r>
                </w:p>
              </w:tc>
              <w:tc>
                <w:tcPr>
                  <w:tcW w:w="3827" w:type="dxa"/>
                  <w:noWrap w:val="0"/>
                  <w:vAlign w:val="top"/>
                </w:tcPr>
                <w:p w14:paraId="231E3C14">
                  <w:pPr>
                    <w:jc w:val="left"/>
                    <w:rPr>
                      <w:rFonts w:hint="eastAsia" w:ascii="宋体" w:hAnsi="宋体" w:eastAsia="宋体"/>
                      <w:szCs w:val="21"/>
                    </w:rPr>
                  </w:pPr>
                </w:p>
              </w:tc>
              <w:tc>
                <w:tcPr>
                  <w:tcW w:w="1276" w:type="dxa"/>
                  <w:noWrap w:val="0"/>
                  <w:vAlign w:val="top"/>
                </w:tcPr>
                <w:p w14:paraId="6F2D0564">
                  <w:pPr>
                    <w:jc w:val="left"/>
                    <w:rPr>
                      <w:rFonts w:hint="eastAsia" w:ascii="宋体" w:hAnsi="宋体" w:eastAsia="宋体"/>
                      <w:szCs w:val="21"/>
                    </w:rPr>
                  </w:pPr>
                </w:p>
              </w:tc>
              <w:tc>
                <w:tcPr>
                  <w:tcW w:w="1559" w:type="dxa"/>
                  <w:noWrap w:val="0"/>
                  <w:vAlign w:val="top"/>
                </w:tcPr>
                <w:p w14:paraId="16D2FFAC">
                  <w:pPr>
                    <w:jc w:val="left"/>
                    <w:rPr>
                      <w:rFonts w:hint="eastAsia" w:ascii="宋体" w:hAnsi="宋体" w:eastAsia="宋体"/>
                      <w:szCs w:val="21"/>
                    </w:rPr>
                  </w:pPr>
                </w:p>
              </w:tc>
              <w:tc>
                <w:tcPr>
                  <w:tcW w:w="901" w:type="dxa"/>
                  <w:noWrap w:val="0"/>
                  <w:vAlign w:val="top"/>
                </w:tcPr>
                <w:p w14:paraId="3EA1FBEE">
                  <w:pPr>
                    <w:jc w:val="center"/>
                    <w:rPr>
                      <w:rFonts w:hint="eastAsia" w:ascii="宋体" w:hAnsi="宋体" w:eastAsia="宋体"/>
                      <w:szCs w:val="21"/>
                    </w:rPr>
                  </w:pPr>
                </w:p>
              </w:tc>
            </w:tr>
          </w:tbl>
          <w:p w14:paraId="2591A3F5">
            <w:pPr>
              <w:jc w:val="left"/>
              <w:rPr>
                <w:rFonts w:hint="eastAsia" w:ascii="宋体" w:hAnsi="宋体" w:eastAsia="宋体"/>
                <w:szCs w:val="21"/>
              </w:rPr>
            </w:pPr>
          </w:p>
          <w:p w14:paraId="42399E6A">
            <w:pPr>
              <w:jc w:val="left"/>
              <w:rPr>
                <w:rFonts w:hint="eastAsia" w:ascii="宋体" w:hAnsi="宋体" w:eastAsia="宋体"/>
                <w:szCs w:val="21"/>
              </w:rPr>
            </w:pPr>
          </w:p>
          <w:p w14:paraId="4EAE2F6E">
            <w:pPr>
              <w:numPr>
                <w:ilvl w:val="0"/>
                <w:numId w:val="0"/>
              </w:numPr>
              <w:spacing w:line="360" w:lineRule="auto"/>
              <w:ind w:leftChars="0" w:firstLine="800" w:firstLineChars="500"/>
              <w:rPr>
                <w:rFonts w:hint="default" w:ascii="Times New Roman" w:hAnsi="Times New Roman" w:eastAsia="宋体" w:cs="Times New Roman"/>
                <w:i/>
                <w:color w:val="00B0F0"/>
                <w:sz w:val="16"/>
                <w:szCs w:val="16"/>
                <w:lang w:val="en-US" w:eastAsia="zh-CN" w:bidi="ar-SA"/>
              </w:rPr>
            </w:pPr>
          </w:p>
          <w:p w14:paraId="5884DBDA">
            <w:pPr>
              <w:pStyle w:val="11"/>
              <w:numPr>
                <w:ilvl w:val="0"/>
                <w:numId w:val="0"/>
              </w:numPr>
              <w:spacing w:after="0"/>
              <w:jc w:val="left"/>
              <w:rPr>
                <w:rFonts w:hint="eastAsia"/>
                <w:i/>
                <w:color w:val="00B0F0"/>
                <w:sz w:val="16"/>
                <w:szCs w:val="16"/>
              </w:rPr>
            </w:pPr>
          </w:p>
          <w:p w14:paraId="739ED6DB">
            <w:pPr>
              <w:spacing w:before="120"/>
              <w:ind w:right="23"/>
              <w:jc w:val="left"/>
              <w:rPr>
                <w:rFonts w:hint="eastAsia"/>
                <w:b/>
                <w:sz w:val="20"/>
              </w:rPr>
            </w:pPr>
          </w:p>
        </w:tc>
      </w:tr>
      <w:tr w14:paraId="38B768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1476" w:hRule="atLeast"/>
        </w:trPr>
        <w:tc>
          <w:tcPr>
            <w:tcW w:w="10260" w:type="dxa"/>
            <w:gridSpan w:val="7"/>
            <w:tcBorders>
              <w:top w:val="single" w:color="auto" w:sz="4" w:space="0"/>
              <w:bottom w:val="single" w:color="auto" w:sz="12" w:space="0"/>
            </w:tcBorders>
            <w:noWrap w:val="0"/>
            <w:vAlign w:val="top"/>
          </w:tcPr>
          <w:p w14:paraId="6542A33D">
            <w:pPr>
              <w:pStyle w:val="11"/>
              <w:numPr>
                <w:ilvl w:val="0"/>
                <w:numId w:val="0"/>
              </w:numPr>
              <w:tabs>
                <w:tab w:val="left" w:pos="3295"/>
                <w:tab w:val="left" w:pos="5860"/>
              </w:tabs>
              <w:spacing w:before="120" w:beforeLines="50" w:after="0"/>
              <w:rPr>
                <w:rFonts w:hint="eastAsia"/>
                <w:b/>
                <w:sz w:val="20"/>
              </w:rPr>
            </w:pPr>
            <w:r>
              <w:rPr>
                <w:rFonts w:hint="eastAsia"/>
                <w:b/>
                <w:sz w:val="20"/>
              </w:rPr>
              <w:t xml:space="preserve">相关业务材料（附件）： </w:t>
            </w:r>
          </w:p>
        </w:tc>
      </w:tr>
    </w:tbl>
    <w:p w14:paraId="53E169F5">
      <w:pPr>
        <w:spacing w:after="0"/>
      </w:pPr>
    </w:p>
    <w:p w14:paraId="6B5036F5">
      <w:pPr>
        <w:spacing w:after="0"/>
        <w:rPr>
          <w:rFonts w:hint="eastAsia"/>
        </w:rPr>
      </w:pPr>
    </w:p>
    <w:sectPr>
      <w:headerReference r:id="rId5" w:type="first"/>
      <w:footerReference r:id="rId7" w:type="first"/>
      <w:headerReference r:id="rId4" w:type="default"/>
      <w:footerReference r:id="rId6" w:type="default"/>
      <w:pgSz w:w="12240" w:h="15840"/>
      <w:pgMar w:top="1304" w:right="851" w:bottom="1191" w:left="1418" w:header="284" w:footer="284"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panose1 w:val="02010600030101010101"/>
    <w:charset w:val="86"/>
    <w:family w:val="auto"/>
    <w:pitch w:val="default"/>
    <w:sig w:usb0="00000003" w:usb1="080E0000" w:usb2="00000000" w:usb3="00000000" w:csb0="00040001" w:csb1="00000000"/>
  </w:font>
  <w:font w:name="Lantinghei TC Extralight">
    <w:panose1 w:val="03000509000000000000"/>
    <w:charset w:val="88"/>
    <w:family w:val="auto"/>
    <w:pitch w:val="default"/>
    <w:sig w:usb0="00000001" w:usb1="080E0000" w:usb2="00000000" w:usb3="00000000" w:csb0="00100000" w:csb1="00000000"/>
  </w:font>
  <w:font w:name="STFangsong">
    <w:panose1 w:val="02010600040101010101"/>
    <w:charset w:val="86"/>
    <w:family w:val="auto"/>
    <w:pitch w:val="default"/>
    <w:sig w:usb0="00000287" w:usb1="080F0000" w:usb2="00000000" w:usb3="00000000" w:csb0="0004009F" w:csb1="DFD70000"/>
  </w:font>
  <w:font w:name="Calibri Light">
    <w:altName w:val="Helvetica Neue"/>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00000000" w:usb1="00000000" w:usb2="00000008" w:usb3="00000000" w:csb0="000001FF" w:csb1="00000000"/>
  </w:font>
  <w:font w:name="方正黑体_GBK">
    <w:altName w:val="汉仪中黑KW"/>
    <w:panose1 w:val="02000000000000000000"/>
    <w:charset w:val="00"/>
    <w:family w:val="auto"/>
    <w:pitch w:val="default"/>
    <w:sig w:usb0="00000000" w:usb1="00000000" w:usb2="00000000" w:usb3="00000000" w:csb0="00040000" w:csb1="00000000"/>
  </w:font>
  <w:font w:name="等线">
    <w:altName w:val="汉仪中等线KW"/>
    <w:panose1 w:val="00000000000000000000"/>
    <w:charset w:val="00"/>
    <w:family w:val="auto"/>
    <w:pitch w:val="default"/>
    <w:sig w:usb0="00000000" w:usb1="00000000" w:usb2="00000016" w:usb3="00000000" w:csb0="0004000F" w:csb1="00000000"/>
  </w:font>
  <w:font w:name="方正书宋_GBK">
    <w:panose1 w:val="02000000000000000000"/>
    <w:charset w:val="86"/>
    <w:family w:val="auto"/>
    <w:pitch w:val="default"/>
    <w:sig w:usb0="A00002BF" w:usb1="38CF7CFA" w:usb2="00082016" w:usb3="00000000" w:csb0="00040001" w:csb1="00000000"/>
  </w:font>
  <w:font w:name="Arial">
    <w:panose1 w:val="020B0604020202090204"/>
    <w:charset w:val="00"/>
    <w:family w:val="swiss"/>
    <w:pitch w:val="default"/>
    <w:sig w:usb0="E0000AFF" w:usb1="00007843" w:usb2="00000001" w:usb3="00000000" w:csb0="400001BF" w:csb1="DFF70000"/>
  </w:font>
  <w:font w:name="Heiti SC Medium">
    <w:panose1 w:val="02000000000000000000"/>
    <w:charset w:val="86"/>
    <w:family w:val="auto"/>
    <w:pitch w:val="default"/>
    <w:sig w:usb0="8000002F" w:usb1="0800004A" w:usb2="00000000" w:usb3="00000000" w:csb0="203E0000" w:csb1="00000000"/>
  </w:font>
  <w:font w:name="Tahoma">
    <w:panose1 w:val="020B0804030504040204"/>
    <w:charset w:val="00"/>
    <w:family w:val="swiss"/>
    <w:pitch w:val="default"/>
    <w:sig w:usb0="E1002AFF" w:usb1="C000605B" w:usb2="00000029" w:usb3="00000000" w:csb0="200101FF" w:csb1="20280000"/>
  </w:font>
  <w:font w:name="楷体_GB2312">
    <w:altName w:val="汉仪楷体简"/>
    <w:panose1 w:val="02010609030101010101"/>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Arial Bold">
    <w:panose1 w:val="020B0604020202090204"/>
    <w:charset w:val="00"/>
    <w:family w:val="roman"/>
    <w:pitch w:val="default"/>
    <w:sig w:usb0="E0000AFF" w:usb1="00007843" w:usb2="00000001" w:usb3="00000000" w:csb0="400001BF" w:csb1="DFF70000"/>
  </w:font>
  <w:font w:name="EYInterstate Regular">
    <w:altName w:val="苹方-简"/>
    <w:panose1 w:val="00000000000000000000"/>
    <w:charset w:val="00"/>
    <w:family w:val="auto"/>
    <w:pitch w:val="default"/>
    <w:sig w:usb0="00000000" w:usb1="00000000" w:usb2="00000000" w:usb3="00000000" w:csb0="0000009F" w:csb1="00000000"/>
  </w:font>
  <w:font w:name="仿宋">
    <w:altName w:val="方正仿宋_GBK"/>
    <w:panose1 w:val="02010609060101010101"/>
    <w:charset w:val="86"/>
    <w:family w:val="auto"/>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Arial Unicode MS">
    <w:panose1 w:val="020B0604020202020204"/>
    <w:charset w:val="86"/>
    <w:family w:val="swiss"/>
    <w:pitch w:val="default"/>
    <w:sig w:usb0="FFFFFFFF" w:usb1="E9FFFFFF" w:usb2="0000003F" w:usb3="00000000" w:csb0="603F01FF" w:csb1="FFFF0000"/>
  </w:font>
  <w:font w:name="微软雅黑 Light">
    <w:altName w:val="汉仪中黑KW"/>
    <w:panose1 w:val="020B0502040204020203"/>
    <w:charset w:val="86"/>
    <w:family w:val="auto"/>
    <w:pitch w:val="default"/>
    <w:sig w:usb0="00000000" w:usb1="00000000" w:usb2="00000016" w:usb3="00000000" w:csb0="0004001F" w:csb1="00000000"/>
  </w:font>
  <w:font w:name="PingFang SC">
    <w:panose1 w:val="020B0400000000000000"/>
    <w:charset w:val="86"/>
    <w:family w:val="auto"/>
    <w:pitch w:val="default"/>
    <w:sig w:usb0="A00002FF" w:usb1="7ACFFDFB" w:usb2="00000017" w:usb3="00000000" w:csb0="00040001" w:csb1="00000000"/>
  </w:font>
  <w:font w:name="Cambria">
    <w:altName w:val="苹方-简"/>
    <w:panose1 w:val="02040503050406030204"/>
    <w:charset w:val="00"/>
    <w:family w:val="roman"/>
    <w:pitch w:val="default"/>
    <w:sig w:usb0="00000000" w:usb1="00000000" w:usb2="02000000" w:usb3="00000000" w:csb0="2000019F"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9889"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55"/>
      <w:gridCol w:w="284"/>
      <w:gridCol w:w="850"/>
    </w:tblGrid>
    <w:tr w14:paraId="0B6BCD2B">
      <w:trPr>
        <w:trHeight w:val="565" w:hRule="atLeast"/>
      </w:trPr>
      <w:tc>
        <w:tcPr>
          <w:tcW w:w="8755" w:type="dxa"/>
          <w:noWrap w:val="0"/>
          <w:vAlign w:val="bottom"/>
        </w:tcPr>
        <w:p w14:paraId="3135642E">
          <w:pPr>
            <w:pStyle w:val="18"/>
            <w:pBdr>
              <w:bottom w:val="none" w:color="auto" w:sz="0" w:space="0"/>
            </w:pBdr>
            <w:spacing w:after="0"/>
            <w:ind w:right="-532" w:rightChars="-242"/>
            <w:jc w:val="both"/>
            <w:rPr>
              <w:rFonts w:hint="eastAsia"/>
              <w:b/>
              <w:sz w:val="21"/>
              <w:szCs w:val="21"/>
            </w:rPr>
          </w:pPr>
        </w:p>
      </w:tc>
      <w:tc>
        <w:tcPr>
          <w:tcW w:w="284" w:type="dxa"/>
          <w:noWrap w:val="0"/>
          <w:vAlign w:val="center"/>
        </w:tcPr>
        <w:p w14:paraId="5CEAF8F1">
          <w:pPr>
            <w:pStyle w:val="18"/>
            <w:pBdr>
              <w:bottom w:val="none" w:color="auto" w:sz="0" w:space="0"/>
            </w:pBdr>
            <w:jc w:val="both"/>
            <w:rPr>
              <w:rFonts w:hint="eastAsia" w:ascii="宋体" w:hAnsi="宋体"/>
              <w:b/>
              <w:sz w:val="21"/>
              <w:szCs w:val="21"/>
            </w:rPr>
          </w:pPr>
        </w:p>
      </w:tc>
      <w:tc>
        <w:tcPr>
          <w:tcW w:w="850" w:type="dxa"/>
          <w:noWrap w:val="0"/>
          <w:vAlign w:val="bottom"/>
        </w:tcPr>
        <w:p w14:paraId="29D93D75">
          <w:pPr>
            <w:pStyle w:val="18"/>
            <w:pBdr>
              <w:bottom w:val="none" w:color="auto" w:sz="0" w:space="0"/>
            </w:pBdr>
            <w:ind w:right="630"/>
            <w:jc w:val="both"/>
            <w:rPr>
              <w:rFonts w:hint="eastAsia"/>
              <w:b/>
              <w:sz w:val="21"/>
              <w:szCs w:val="21"/>
            </w:rPr>
          </w:pPr>
        </w:p>
      </w:tc>
    </w:tr>
  </w:tbl>
  <w:p w14:paraId="6E3A543E">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A1876">
    <w:pPr>
      <w:pStyle w:val="17"/>
      <w:spacing w:after="480"/>
    </w:pPr>
    <w:r>
      <w:rPr>
        <w:rFonts w:hint="eastAsia" w:ascii="宋体" w:hAnsi="宋体"/>
        <w:b/>
        <w:sz w:val="21"/>
        <w:szCs w:val="21"/>
      </w:rPr>
      <w:t xml:space="preserve">                </w:t>
    </w:r>
    <w:r>
      <w:rPr>
        <w:rFonts w:ascii="宋体" w:hAnsi="宋体"/>
        <w:b/>
        <w:sz w:val="21"/>
        <w:szCs w:val="21"/>
      </w:rPr>
      <w:t xml:space="preserve">  </w:t>
    </w:r>
    <w:r>
      <w:rPr>
        <w:rFonts w:hint="eastAsia" w:ascii="宋体" w:hAnsi="宋体"/>
        <w:b/>
        <w:sz w:val="21"/>
        <w:szCs w:val="21"/>
      </w:rPr>
      <w:t xml:space="preserve"> </w:t>
    </w:r>
    <w:r>
      <w:rPr>
        <w:rFonts w:ascii="宋体" w:hAnsi="宋体"/>
        <w:b/>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8"/>
      <w:gridCol w:w="7379"/>
    </w:tblGrid>
    <w:tr w14:paraId="11867E4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rPr>
        <w:trHeight w:val="534" w:hRule="atLeast"/>
      </w:trPr>
      <w:tc>
        <w:tcPr>
          <w:tcW w:w="2808" w:type="dxa"/>
          <w:noWrap w:val="0"/>
          <w:vAlign w:val="bottom"/>
        </w:tcPr>
        <w:p w14:paraId="4C5EB195">
          <w:pPr>
            <w:pStyle w:val="18"/>
            <w:pBdr>
              <w:bottom w:val="none" w:color="auto" w:sz="0" w:space="0"/>
            </w:pBdr>
            <w:jc w:val="both"/>
          </w:pPr>
        </w:p>
      </w:tc>
      <w:tc>
        <w:tcPr>
          <w:tcW w:w="7379" w:type="dxa"/>
          <w:noWrap w:val="0"/>
          <w:vAlign w:val="center"/>
        </w:tcPr>
        <w:p w14:paraId="40BB44D3">
          <w:pPr>
            <w:pStyle w:val="18"/>
            <w:pBdr>
              <w:bottom w:val="none" w:color="auto" w:sz="0" w:space="0"/>
            </w:pBdr>
            <w:jc w:val="both"/>
            <w:rPr>
              <w:rFonts w:hint="eastAsia"/>
              <w:sz w:val="32"/>
              <w:szCs w:val="32"/>
            </w:rPr>
          </w:pPr>
        </w:p>
      </w:tc>
    </w:tr>
  </w:tbl>
  <w:p w14:paraId="2C2A57B5">
    <w:pPr>
      <w:pStyle w:val="18"/>
      <w:pBdr>
        <w:bottom w:val="none" w:color="auto" w:sz="0" w:space="0"/>
      </w:pBdr>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C3E4">
    <w:pPr>
      <w:pStyle w:val="18"/>
      <w:pBdr>
        <w:bottom w:val="single" w:color="auto" w:sz="6" w:space="0"/>
      </w:pBdr>
    </w:pPr>
    <w:r>
      <w:rPr>
        <w:rFonts w:hint="eastAsia" w:ascii="黑体" w:eastAsia="黑体"/>
        <w:smallCaps/>
        <w:sz w:val="32"/>
        <w:szCs w:val="32"/>
      </w:rPr>
      <w:t>需求变更申请表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2DF6FE"/>
    <w:multiLevelType w:val="multilevel"/>
    <w:tmpl w:val="BD2DF6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B7B46C"/>
    <w:multiLevelType w:val="singleLevel"/>
    <w:tmpl w:val="FFB7B46C"/>
    <w:lvl w:ilvl="0" w:tentative="0">
      <w:start w:val="1"/>
      <w:numFmt w:val="chineseCounting"/>
      <w:suff w:val="nothing"/>
      <w:lvlText w:val="%1、"/>
      <w:lvlJc w:val="left"/>
      <w:rPr>
        <w:rFonts w:hint="eastAsia"/>
      </w:rPr>
    </w:lvl>
  </w:abstractNum>
  <w:abstractNum w:abstractNumId="2">
    <w:nsid w:val="FFFFFFFB"/>
    <w:multiLevelType w:val="multilevel"/>
    <w:tmpl w:val="FFFFFFFB"/>
    <w:lvl w:ilvl="0" w:tentative="0">
      <w:start w:val="1"/>
      <w:numFmt w:val="decimal"/>
      <w:pStyle w:val="2"/>
      <w:lvlText w:val="%1."/>
      <w:lvlJc w:val="left"/>
      <w:pPr>
        <w:tabs>
          <w:tab w:val="left" w:pos="900"/>
        </w:tabs>
        <w:ind w:left="900" w:firstLine="0"/>
      </w:pPr>
    </w:lvl>
    <w:lvl w:ilvl="1" w:tentative="0">
      <w:start w:val="1"/>
      <w:numFmt w:val="decimal"/>
      <w:pStyle w:val="3"/>
      <w:lvlText w:val="%1.%2"/>
      <w:lvlJc w:val="left"/>
      <w:pPr>
        <w:tabs>
          <w:tab w:val="left" w:pos="900"/>
        </w:tabs>
        <w:ind w:left="900" w:firstLine="0"/>
      </w:pPr>
      <w:rPr>
        <w:color w:val="auto"/>
      </w:rPr>
    </w:lvl>
    <w:lvl w:ilvl="2" w:tentative="0">
      <w:start w:val="1"/>
      <w:numFmt w:val="decimal"/>
      <w:pStyle w:val="4"/>
      <w:lvlText w:val="%1.%2.%3"/>
      <w:lvlJc w:val="left"/>
      <w:pPr>
        <w:tabs>
          <w:tab w:val="left" w:pos="1120"/>
        </w:tabs>
        <w:ind w:left="1120" w:firstLine="0"/>
      </w:pPr>
      <w:rPr>
        <w:lang w:val="en-US" w:eastAsia="zh-CN"/>
      </w:rPr>
    </w:lvl>
    <w:lvl w:ilvl="3" w:tentative="0">
      <w:start w:val="1"/>
      <w:numFmt w:val="decimal"/>
      <w:pStyle w:val="5"/>
      <w:lvlText w:val="%1.%2.%3.%4"/>
      <w:lvlJc w:val="left"/>
      <w:pPr>
        <w:tabs>
          <w:tab w:val="left" w:pos="900"/>
        </w:tabs>
        <w:ind w:left="900" w:firstLine="0"/>
      </w:pPr>
    </w:lvl>
    <w:lvl w:ilvl="4" w:tentative="0">
      <w:start w:val="1"/>
      <w:numFmt w:val="upperLetter"/>
      <w:pStyle w:val="6"/>
      <w:lvlText w:val="APPENDIX  %5"/>
      <w:lvlJc w:val="left"/>
      <w:pPr>
        <w:tabs>
          <w:tab w:val="left" w:pos="3060"/>
        </w:tabs>
        <w:ind w:left="900" w:firstLine="0"/>
      </w:pPr>
    </w:lvl>
    <w:lvl w:ilvl="5" w:tentative="0">
      <w:start w:val="1"/>
      <w:numFmt w:val="decimal"/>
      <w:pStyle w:val="7"/>
      <w:lvlText w:val="Appendix %5.%6"/>
      <w:lvlJc w:val="left"/>
      <w:pPr>
        <w:tabs>
          <w:tab w:val="left" w:pos="3060"/>
        </w:tabs>
        <w:ind w:left="900" w:firstLine="0"/>
      </w:pPr>
    </w:lvl>
    <w:lvl w:ilvl="6" w:tentative="0">
      <w:start w:val="1"/>
      <w:numFmt w:val="decimal"/>
      <w:pStyle w:val="8"/>
      <w:lvlText w:val="%1.%2.%3.%4.%5.%6.%7"/>
      <w:lvlJc w:val="left"/>
      <w:pPr>
        <w:tabs>
          <w:tab w:val="left" w:pos="900"/>
        </w:tabs>
        <w:ind w:left="900" w:firstLine="0"/>
      </w:pPr>
    </w:lvl>
    <w:lvl w:ilvl="7" w:tentative="0">
      <w:start w:val="1"/>
      <w:numFmt w:val="decimal"/>
      <w:pStyle w:val="9"/>
      <w:lvlText w:val="%1.%2.%3.%4.%5.%6.%7.%8"/>
      <w:lvlJc w:val="left"/>
      <w:pPr>
        <w:tabs>
          <w:tab w:val="left" w:pos="900"/>
        </w:tabs>
        <w:ind w:left="900" w:firstLine="0"/>
      </w:pPr>
    </w:lvl>
    <w:lvl w:ilvl="8" w:tentative="0">
      <w:start w:val="1"/>
      <w:numFmt w:val="decimal"/>
      <w:pStyle w:val="10"/>
      <w:lvlText w:val="%1.%2.%3.%4.%5.%6.%7.%8.%9"/>
      <w:lvlJc w:val="left"/>
      <w:pPr>
        <w:tabs>
          <w:tab w:val="left" w:pos="900"/>
        </w:tabs>
        <w:ind w:left="900" w:firstLine="0"/>
      </w:pPr>
    </w:lvl>
  </w:abstractNum>
  <w:abstractNum w:abstractNumId="3">
    <w:nsid w:val="47C51E16"/>
    <w:multiLevelType w:val="multilevel"/>
    <w:tmpl w:val="47C51E16"/>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rPr>
        <w:rFonts w:ascii="黑体" w:hAnsi="黑体" w:eastAsia="黑体"/>
      </w:r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
    <w:nsid w:val="4DAB5572"/>
    <w:multiLevelType w:val="multilevel"/>
    <w:tmpl w:val="4DAB5572"/>
    <w:lvl w:ilvl="0" w:tentative="0">
      <w:start w:val="1"/>
      <w:numFmt w:val="decimal"/>
      <w:pStyle w:val="32"/>
      <w:lvlText w:val="%1、"/>
      <w:lvlJc w:val="left"/>
      <w:pPr>
        <w:ind w:left="1407" w:hanging="84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74861A23"/>
    <w:multiLevelType w:val="multilevel"/>
    <w:tmpl w:val="74861A23"/>
    <w:lvl w:ilvl="0" w:tentative="0">
      <w:start w:val="1"/>
      <w:numFmt w:val="chineseCountingThousand"/>
      <w:lvlText w:val="第%1章"/>
      <w:lvlJc w:val="left"/>
      <w:pPr>
        <w:tabs>
          <w:tab w:val="left" w:pos="2240"/>
        </w:tabs>
        <w:ind w:left="993" w:firstLine="0"/>
      </w:pPr>
      <w:rPr>
        <w:rFonts w:hint="eastAsia"/>
      </w:rPr>
    </w:lvl>
    <w:lvl w:ilvl="1" w:tentative="0">
      <w:start w:val="1"/>
      <w:numFmt w:val="decimal"/>
      <w:pStyle w:val="35"/>
      <w:isLgl/>
      <w:lvlText w:val="%1.%2"/>
      <w:lvlJc w:val="left"/>
      <w:pPr>
        <w:tabs>
          <w:tab w:val="left" w:pos="1447"/>
        </w:tabs>
        <w:ind w:left="993" w:firstLine="0"/>
      </w:pPr>
      <w:rPr>
        <w:rFonts w:hint="eastAsia"/>
      </w:rPr>
    </w:lvl>
    <w:lvl w:ilvl="2" w:tentative="0">
      <w:start w:val="1"/>
      <w:numFmt w:val="decimal"/>
      <w:pStyle w:val="36"/>
      <w:isLgl/>
      <w:lvlText w:val="%1.%2.%3"/>
      <w:lvlJc w:val="left"/>
      <w:pPr>
        <w:tabs>
          <w:tab w:val="left" w:pos="993"/>
        </w:tabs>
        <w:ind w:left="284" w:firstLine="0"/>
      </w:pPr>
      <w:rPr>
        <w:rFonts w:hint="eastAsia"/>
      </w:rPr>
    </w:lvl>
    <w:lvl w:ilvl="3" w:tentative="0">
      <w:start w:val="1"/>
      <w:numFmt w:val="decimal"/>
      <w:isLgl/>
      <w:lvlText w:val="%1.%2.%3.%4"/>
      <w:lvlJc w:val="left"/>
      <w:pPr>
        <w:tabs>
          <w:tab w:val="left" w:pos="1929"/>
        </w:tabs>
        <w:ind w:left="993" w:firstLine="0"/>
      </w:pPr>
      <w:rPr>
        <w:rFonts w:hint="eastAsia"/>
      </w:rPr>
    </w:lvl>
    <w:lvl w:ilvl="4" w:tentative="0">
      <w:start w:val="1"/>
      <w:numFmt w:val="decimal"/>
      <w:isLgl/>
      <w:lvlText w:val="%1.%2.%3.%4.%5"/>
      <w:lvlJc w:val="left"/>
      <w:pPr>
        <w:tabs>
          <w:tab w:val="left" w:pos="2155"/>
        </w:tabs>
        <w:ind w:left="993" w:firstLine="0"/>
      </w:pPr>
      <w:rPr>
        <w:rFonts w:hint="eastAsia"/>
      </w:rPr>
    </w:lvl>
    <w:lvl w:ilvl="5" w:tentative="0">
      <w:start w:val="1"/>
      <w:numFmt w:val="decimal"/>
      <w:isLgl/>
      <w:lvlText w:val="%1.%2.%3.%4.%5.%6"/>
      <w:lvlJc w:val="left"/>
      <w:pPr>
        <w:tabs>
          <w:tab w:val="left" w:pos="2382"/>
        </w:tabs>
        <w:ind w:left="993" w:firstLine="0"/>
      </w:pPr>
      <w:rPr>
        <w:rFonts w:hint="eastAsia"/>
      </w:rPr>
    </w:lvl>
    <w:lvl w:ilvl="6" w:tentative="0">
      <w:start w:val="1"/>
      <w:numFmt w:val="none"/>
      <w:suff w:val="nothing"/>
      <w:lvlText w:val=""/>
      <w:lvlJc w:val="left"/>
      <w:pPr>
        <w:ind w:left="993" w:firstLine="0"/>
      </w:pPr>
      <w:rPr>
        <w:rFonts w:hint="eastAsia"/>
      </w:rPr>
    </w:lvl>
    <w:lvl w:ilvl="7" w:tentative="0">
      <w:start w:val="1"/>
      <w:numFmt w:val="none"/>
      <w:suff w:val="nothing"/>
      <w:lvlText w:val=""/>
      <w:lvlJc w:val="left"/>
      <w:pPr>
        <w:ind w:left="993" w:firstLine="0"/>
      </w:pPr>
      <w:rPr>
        <w:rFonts w:hint="eastAsia"/>
      </w:rPr>
    </w:lvl>
    <w:lvl w:ilvl="8" w:tentative="0">
      <w:start w:val="1"/>
      <w:numFmt w:val="none"/>
      <w:suff w:val="nothing"/>
      <w:lvlText w:val=""/>
      <w:lvlJc w:val="left"/>
      <w:pPr>
        <w:ind w:left="993" w:firstLine="0"/>
      </w:pPr>
      <w:rPr>
        <w:rFonts w:hint="eastAsia"/>
      </w:rPr>
    </w:lvl>
  </w:abstractNum>
  <w:num w:numId="1">
    <w:abstractNumId w:val="2"/>
  </w:num>
  <w:num w:numId="2">
    <w:abstractNumId w:val="4"/>
  </w:num>
  <w:num w:numId="3">
    <w:abstractNumId w:val="5"/>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NjYzY2ZGRlMTc2MmZlMWFjZjExNmRiNmQzNTg2YzAifQ=="/>
  </w:docVars>
  <w:rsids>
    <w:rsidRoot w:val="00E671EF"/>
    <w:rsid w:val="00000B85"/>
    <w:rsid w:val="00007617"/>
    <w:rsid w:val="00007DD0"/>
    <w:rsid w:val="0001144A"/>
    <w:rsid w:val="00021407"/>
    <w:rsid w:val="00021515"/>
    <w:rsid w:val="00033F8F"/>
    <w:rsid w:val="0003527F"/>
    <w:rsid w:val="00044947"/>
    <w:rsid w:val="00045DF1"/>
    <w:rsid w:val="000501A2"/>
    <w:rsid w:val="00050EC9"/>
    <w:rsid w:val="00051A08"/>
    <w:rsid w:val="00060C29"/>
    <w:rsid w:val="00061394"/>
    <w:rsid w:val="00067DBC"/>
    <w:rsid w:val="00071EEB"/>
    <w:rsid w:val="00083F39"/>
    <w:rsid w:val="00085378"/>
    <w:rsid w:val="0008763A"/>
    <w:rsid w:val="00090BC0"/>
    <w:rsid w:val="000A3B9F"/>
    <w:rsid w:val="000B4645"/>
    <w:rsid w:val="000B5C5B"/>
    <w:rsid w:val="000C282C"/>
    <w:rsid w:val="000D1193"/>
    <w:rsid w:val="000D1348"/>
    <w:rsid w:val="000D3571"/>
    <w:rsid w:val="000D5B4C"/>
    <w:rsid w:val="000D5DA4"/>
    <w:rsid w:val="000D7699"/>
    <w:rsid w:val="000E13E7"/>
    <w:rsid w:val="000E2607"/>
    <w:rsid w:val="000F1376"/>
    <w:rsid w:val="000F1673"/>
    <w:rsid w:val="000F1ACE"/>
    <w:rsid w:val="000F2B58"/>
    <w:rsid w:val="000F6E08"/>
    <w:rsid w:val="0010227F"/>
    <w:rsid w:val="00113A79"/>
    <w:rsid w:val="00116C98"/>
    <w:rsid w:val="001204C0"/>
    <w:rsid w:val="00124BB9"/>
    <w:rsid w:val="00131903"/>
    <w:rsid w:val="00133CAA"/>
    <w:rsid w:val="00135ADF"/>
    <w:rsid w:val="00135C1A"/>
    <w:rsid w:val="001463FB"/>
    <w:rsid w:val="0015393D"/>
    <w:rsid w:val="00161C95"/>
    <w:rsid w:val="00170383"/>
    <w:rsid w:val="00170BFA"/>
    <w:rsid w:val="00174474"/>
    <w:rsid w:val="00176C1F"/>
    <w:rsid w:val="00176CD8"/>
    <w:rsid w:val="00187896"/>
    <w:rsid w:val="00191A6B"/>
    <w:rsid w:val="001A1610"/>
    <w:rsid w:val="001A1F84"/>
    <w:rsid w:val="001A40AF"/>
    <w:rsid w:val="001A5F50"/>
    <w:rsid w:val="001B2548"/>
    <w:rsid w:val="001B3A6E"/>
    <w:rsid w:val="001C10C7"/>
    <w:rsid w:val="001C3464"/>
    <w:rsid w:val="001C4156"/>
    <w:rsid w:val="001C7223"/>
    <w:rsid w:val="001D0ACC"/>
    <w:rsid w:val="001D2016"/>
    <w:rsid w:val="001D6D79"/>
    <w:rsid w:val="001E0327"/>
    <w:rsid w:val="001E376E"/>
    <w:rsid w:val="001E6000"/>
    <w:rsid w:val="001F0210"/>
    <w:rsid w:val="001F096F"/>
    <w:rsid w:val="001F60D3"/>
    <w:rsid w:val="001F6BB6"/>
    <w:rsid w:val="0020510D"/>
    <w:rsid w:val="00217241"/>
    <w:rsid w:val="00221367"/>
    <w:rsid w:val="00222B76"/>
    <w:rsid w:val="00230CAD"/>
    <w:rsid w:val="00235496"/>
    <w:rsid w:val="00236163"/>
    <w:rsid w:val="0024364B"/>
    <w:rsid w:val="00243C7E"/>
    <w:rsid w:val="00244594"/>
    <w:rsid w:val="00244AA6"/>
    <w:rsid w:val="002473C9"/>
    <w:rsid w:val="0025222F"/>
    <w:rsid w:val="002549FC"/>
    <w:rsid w:val="00256C03"/>
    <w:rsid w:val="00261D7D"/>
    <w:rsid w:val="00262485"/>
    <w:rsid w:val="002629E3"/>
    <w:rsid w:val="00263212"/>
    <w:rsid w:val="00263F85"/>
    <w:rsid w:val="002702F3"/>
    <w:rsid w:val="002738B0"/>
    <w:rsid w:val="00275423"/>
    <w:rsid w:val="00286C70"/>
    <w:rsid w:val="002877E7"/>
    <w:rsid w:val="00287F55"/>
    <w:rsid w:val="00293C1B"/>
    <w:rsid w:val="00295AD4"/>
    <w:rsid w:val="00297F03"/>
    <w:rsid w:val="002A2B69"/>
    <w:rsid w:val="002A7983"/>
    <w:rsid w:val="002B4E50"/>
    <w:rsid w:val="002C55AA"/>
    <w:rsid w:val="002C6223"/>
    <w:rsid w:val="002D1929"/>
    <w:rsid w:val="002D2A1D"/>
    <w:rsid w:val="002D3D88"/>
    <w:rsid w:val="002E1044"/>
    <w:rsid w:val="002E7194"/>
    <w:rsid w:val="002F0540"/>
    <w:rsid w:val="002F3524"/>
    <w:rsid w:val="002F4E22"/>
    <w:rsid w:val="003046BB"/>
    <w:rsid w:val="003202AE"/>
    <w:rsid w:val="00322299"/>
    <w:rsid w:val="00331D6F"/>
    <w:rsid w:val="00333BE5"/>
    <w:rsid w:val="00336BDA"/>
    <w:rsid w:val="00345DB2"/>
    <w:rsid w:val="003512BD"/>
    <w:rsid w:val="00354E45"/>
    <w:rsid w:val="00357CF0"/>
    <w:rsid w:val="003623E9"/>
    <w:rsid w:val="003651FC"/>
    <w:rsid w:val="00366BF7"/>
    <w:rsid w:val="00371A4C"/>
    <w:rsid w:val="00372D7A"/>
    <w:rsid w:val="00382F00"/>
    <w:rsid w:val="00383CC7"/>
    <w:rsid w:val="003907F8"/>
    <w:rsid w:val="00395B78"/>
    <w:rsid w:val="003A1730"/>
    <w:rsid w:val="003A4678"/>
    <w:rsid w:val="003B173D"/>
    <w:rsid w:val="003B28F5"/>
    <w:rsid w:val="003C10EC"/>
    <w:rsid w:val="003C453A"/>
    <w:rsid w:val="003C4C86"/>
    <w:rsid w:val="003C7BF5"/>
    <w:rsid w:val="003D0C64"/>
    <w:rsid w:val="003D56D5"/>
    <w:rsid w:val="003D6909"/>
    <w:rsid w:val="003D75ED"/>
    <w:rsid w:val="003E3CF6"/>
    <w:rsid w:val="003E62F1"/>
    <w:rsid w:val="003E6F29"/>
    <w:rsid w:val="003F043C"/>
    <w:rsid w:val="003F273B"/>
    <w:rsid w:val="00403066"/>
    <w:rsid w:val="00403F46"/>
    <w:rsid w:val="00404C87"/>
    <w:rsid w:val="00405AA2"/>
    <w:rsid w:val="0041111D"/>
    <w:rsid w:val="004142A3"/>
    <w:rsid w:val="00421FDE"/>
    <w:rsid w:val="00424651"/>
    <w:rsid w:val="00430058"/>
    <w:rsid w:val="004314FB"/>
    <w:rsid w:val="00431C79"/>
    <w:rsid w:val="00431F5D"/>
    <w:rsid w:val="00433015"/>
    <w:rsid w:val="00434E81"/>
    <w:rsid w:val="004507B9"/>
    <w:rsid w:val="00453D69"/>
    <w:rsid w:val="0046290B"/>
    <w:rsid w:val="004679A3"/>
    <w:rsid w:val="00467D97"/>
    <w:rsid w:val="004732D5"/>
    <w:rsid w:val="0047551F"/>
    <w:rsid w:val="0047633F"/>
    <w:rsid w:val="00480145"/>
    <w:rsid w:val="00481396"/>
    <w:rsid w:val="00481C9D"/>
    <w:rsid w:val="00484427"/>
    <w:rsid w:val="004939AB"/>
    <w:rsid w:val="0049400F"/>
    <w:rsid w:val="00495CC7"/>
    <w:rsid w:val="0049627B"/>
    <w:rsid w:val="004A0CC4"/>
    <w:rsid w:val="004B0210"/>
    <w:rsid w:val="004B3FBF"/>
    <w:rsid w:val="004B4D5B"/>
    <w:rsid w:val="004B7218"/>
    <w:rsid w:val="004C165A"/>
    <w:rsid w:val="004C2D59"/>
    <w:rsid w:val="004D48EF"/>
    <w:rsid w:val="004E0F01"/>
    <w:rsid w:val="004E6A3A"/>
    <w:rsid w:val="004F2B3F"/>
    <w:rsid w:val="004F768F"/>
    <w:rsid w:val="005016A3"/>
    <w:rsid w:val="00506A86"/>
    <w:rsid w:val="005176DE"/>
    <w:rsid w:val="005269F7"/>
    <w:rsid w:val="00530397"/>
    <w:rsid w:val="00536843"/>
    <w:rsid w:val="005400BF"/>
    <w:rsid w:val="005579D6"/>
    <w:rsid w:val="0056267D"/>
    <w:rsid w:val="00567D70"/>
    <w:rsid w:val="00572E15"/>
    <w:rsid w:val="00581E50"/>
    <w:rsid w:val="00582AB5"/>
    <w:rsid w:val="00584AD9"/>
    <w:rsid w:val="00593E4E"/>
    <w:rsid w:val="00594A7D"/>
    <w:rsid w:val="00597BDB"/>
    <w:rsid w:val="005A145D"/>
    <w:rsid w:val="005A5E34"/>
    <w:rsid w:val="005B2243"/>
    <w:rsid w:val="005B7154"/>
    <w:rsid w:val="005C36C2"/>
    <w:rsid w:val="005D240D"/>
    <w:rsid w:val="005D245A"/>
    <w:rsid w:val="005D343C"/>
    <w:rsid w:val="005D3A49"/>
    <w:rsid w:val="005E1839"/>
    <w:rsid w:val="005E1BDE"/>
    <w:rsid w:val="005E52EB"/>
    <w:rsid w:val="005E799D"/>
    <w:rsid w:val="005F6CC6"/>
    <w:rsid w:val="00600299"/>
    <w:rsid w:val="00600DD1"/>
    <w:rsid w:val="006030AA"/>
    <w:rsid w:val="006055DA"/>
    <w:rsid w:val="0060623B"/>
    <w:rsid w:val="0061133A"/>
    <w:rsid w:val="00612741"/>
    <w:rsid w:val="00614A41"/>
    <w:rsid w:val="00622876"/>
    <w:rsid w:val="00622B9C"/>
    <w:rsid w:val="00623910"/>
    <w:rsid w:val="00624A3B"/>
    <w:rsid w:val="006253CA"/>
    <w:rsid w:val="006328D5"/>
    <w:rsid w:val="006411DA"/>
    <w:rsid w:val="00642D43"/>
    <w:rsid w:val="00645684"/>
    <w:rsid w:val="00655EA0"/>
    <w:rsid w:val="00660B6E"/>
    <w:rsid w:val="0066324D"/>
    <w:rsid w:val="00664F65"/>
    <w:rsid w:val="0066690F"/>
    <w:rsid w:val="00670E96"/>
    <w:rsid w:val="006736DD"/>
    <w:rsid w:val="006813A3"/>
    <w:rsid w:val="00682CD1"/>
    <w:rsid w:val="00686660"/>
    <w:rsid w:val="00687C0D"/>
    <w:rsid w:val="0069097C"/>
    <w:rsid w:val="00694253"/>
    <w:rsid w:val="00696F24"/>
    <w:rsid w:val="006A0F1D"/>
    <w:rsid w:val="006B0416"/>
    <w:rsid w:val="006C70B6"/>
    <w:rsid w:val="006D17C8"/>
    <w:rsid w:val="006D4597"/>
    <w:rsid w:val="006E2DA1"/>
    <w:rsid w:val="006E3EB8"/>
    <w:rsid w:val="006E44FB"/>
    <w:rsid w:val="006E74AA"/>
    <w:rsid w:val="006E76C2"/>
    <w:rsid w:val="006F20D3"/>
    <w:rsid w:val="0070078C"/>
    <w:rsid w:val="00702EF7"/>
    <w:rsid w:val="007030E0"/>
    <w:rsid w:val="00704CC9"/>
    <w:rsid w:val="00706388"/>
    <w:rsid w:val="0071131F"/>
    <w:rsid w:val="007117F7"/>
    <w:rsid w:val="00712126"/>
    <w:rsid w:val="00714038"/>
    <w:rsid w:val="00720677"/>
    <w:rsid w:val="007267A2"/>
    <w:rsid w:val="007270E8"/>
    <w:rsid w:val="0073105C"/>
    <w:rsid w:val="00735AA1"/>
    <w:rsid w:val="00743C23"/>
    <w:rsid w:val="00762192"/>
    <w:rsid w:val="00764DC7"/>
    <w:rsid w:val="00764F50"/>
    <w:rsid w:val="007721D1"/>
    <w:rsid w:val="007747AB"/>
    <w:rsid w:val="00776643"/>
    <w:rsid w:val="00780388"/>
    <w:rsid w:val="00793103"/>
    <w:rsid w:val="00793303"/>
    <w:rsid w:val="00794CB7"/>
    <w:rsid w:val="007A0380"/>
    <w:rsid w:val="007B2B63"/>
    <w:rsid w:val="007B427B"/>
    <w:rsid w:val="007C0315"/>
    <w:rsid w:val="007D17EA"/>
    <w:rsid w:val="007D69BE"/>
    <w:rsid w:val="007D71D2"/>
    <w:rsid w:val="007E0EB1"/>
    <w:rsid w:val="007E0FCB"/>
    <w:rsid w:val="007E72BF"/>
    <w:rsid w:val="007E73FD"/>
    <w:rsid w:val="007F2DEE"/>
    <w:rsid w:val="007F6176"/>
    <w:rsid w:val="0080342A"/>
    <w:rsid w:val="0080458B"/>
    <w:rsid w:val="0081409B"/>
    <w:rsid w:val="00821343"/>
    <w:rsid w:val="00825A10"/>
    <w:rsid w:val="00827469"/>
    <w:rsid w:val="008328AF"/>
    <w:rsid w:val="0083421C"/>
    <w:rsid w:val="008421D7"/>
    <w:rsid w:val="00843817"/>
    <w:rsid w:val="008453B6"/>
    <w:rsid w:val="0085485A"/>
    <w:rsid w:val="0085581A"/>
    <w:rsid w:val="00856216"/>
    <w:rsid w:val="00865E9C"/>
    <w:rsid w:val="008729B1"/>
    <w:rsid w:val="00877135"/>
    <w:rsid w:val="00877566"/>
    <w:rsid w:val="00883E37"/>
    <w:rsid w:val="0088550F"/>
    <w:rsid w:val="0088742B"/>
    <w:rsid w:val="00890698"/>
    <w:rsid w:val="008910D9"/>
    <w:rsid w:val="00894964"/>
    <w:rsid w:val="008B4772"/>
    <w:rsid w:val="008B594A"/>
    <w:rsid w:val="008B7ACE"/>
    <w:rsid w:val="008C16C8"/>
    <w:rsid w:val="008C24A0"/>
    <w:rsid w:val="008C2D0A"/>
    <w:rsid w:val="008D0D51"/>
    <w:rsid w:val="008E10EE"/>
    <w:rsid w:val="008E3393"/>
    <w:rsid w:val="008E6B21"/>
    <w:rsid w:val="008F1A10"/>
    <w:rsid w:val="008F42FA"/>
    <w:rsid w:val="00902A96"/>
    <w:rsid w:val="00910CE4"/>
    <w:rsid w:val="009113D6"/>
    <w:rsid w:val="00912836"/>
    <w:rsid w:val="00912B2E"/>
    <w:rsid w:val="0091333C"/>
    <w:rsid w:val="00913945"/>
    <w:rsid w:val="00916D86"/>
    <w:rsid w:val="00921532"/>
    <w:rsid w:val="009240F7"/>
    <w:rsid w:val="00931F29"/>
    <w:rsid w:val="009341E0"/>
    <w:rsid w:val="00942F3A"/>
    <w:rsid w:val="009463A3"/>
    <w:rsid w:val="00947152"/>
    <w:rsid w:val="0094743F"/>
    <w:rsid w:val="009506BC"/>
    <w:rsid w:val="009507A5"/>
    <w:rsid w:val="009535B3"/>
    <w:rsid w:val="0095394D"/>
    <w:rsid w:val="00961A81"/>
    <w:rsid w:val="00970E8C"/>
    <w:rsid w:val="00974919"/>
    <w:rsid w:val="0097678A"/>
    <w:rsid w:val="009801C8"/>
    <w:rsid w:val="00980742"/>
    <w:rsid w:val="00982721"/>
    <w:rsid w:val="00982CB8"/>
    <w:rsid w:val="00983FC4"/>
    <w:rsid w:val="00985956"/>
    <w:rsid w:val="00986C63"/>
    <w:rsid w:val="00992598"/>
    <w:rsid w:val="00994058"/>
    <w:rsid w:val="00994C76"/>
    <w:rsid w:val="00995EC9"/>
    <w:rsid w:val="009975ED"/>
    <w:rsid w:val="009A0AFC"/>
    <w:rsid w:val="009A241E"/>
    <w:rsid w:val="009A573A"/>
    <w:rsid w:val="009A5C96"/>
    <w:rsid w:val="009A7998"/>
    <w:rsid w:val="009B252B"/>
    <w:rsid w:val="009B27D0"/>
    <w:rsid w:val="009B3A15"/>
    <w:rsid w:val="009B5506"/>
    <w:rsid w:val="009B664B"/>
    <w:rsid w:val="009B6DC1"/>
    <w:rsid w:val="009C7543"/>
    <w:rsid w:val="009D0DA3"/>
    <w:rsid w:val="009D25DB"/>
    <w:rsid w:val="009E0C07"/>
    <w:rsid w:val="009E3C18"/>
    <w:rsid w:val="009F4013"/>
    <w:rsid w:val="00A03FA3"/>
    <w:rsid w:val="00A071AC"/>
    <w:rsid w:val="00A1375C"/>
    <w:rsid w:val="00A13AB1"/>
    <w:rsid w:val="00A13CCE"/>
    <w:rsid w:val="00A2155A"/>
    <w:rsid w:val="00A220F6"/>
    <w:rsid w:val="00A243A2"/>
    <w:rsid w:val="00A2633B"/>
    <w:rsid w:val="00A271CE"/>
    <w:rsid w:val="00A3030F"/>
    <w:rsid w:val="00A32C4E"/>
    <w:rsid w:val="00A334C0"/>
    <w:rsid w:val="00A35F4D"/>
    <w:rsid w:val="00A36FB0"/>
    <w:rsid w:val="00A51EE7"/>
    <w:rsid w:val="00A53E90"/>
    <w:rsid w:val="00A62C04"/>
    <w:rsid w:val="00A63535"/>
    <w:rsid w:val="00A6423B"/>
    <w:rsid w:val="00A644F0"/>
    <w:rsid w:val="00A649DE"/>
    <w:rsid w:val="00A7191C"/>
    <w:rsid w:val="00A851B0"/>
    <w:rsid w:val="00A86B0C"/>
    <w:rsid w:val="00A86F0D"/>
    <w:rsid w:val="00A86FF3"/>
    <w:rsid w:val="00A90805"/>
    <w:rsid w:val="00A925E2"/>
    <w:rsid w:val="00A92EF6"/>
    <w:rsid w:val="00A9529D"/>
    <w:rsid w:val="00A97236"/>
    <w:rsid w:val="00AA260B"/>
    <w:rsid w:val="00AA61C1"/>
    <w:rsid w:val="00AB0229"/>
    <w:rsid w:val="00AB32B0"/>
    <w:rsid w:val="00AB5FA8"/>
    <w:rsid w:val="00AC02B4"/>
    <w:rsid w:val="00AC268C"/>
    <w:rsid w:val="00AD303E"/>
    <w:rsid w:val="00AD798B"/>
    <w:rsid w:val="00AE2ACF"/>
    <w:rsid w:val="00AF1D96"/>
    <w:rsid w:val="00AF556F"/>
    <w:rsid w:val="00AF6AE0"/>
    <w:rsid w:val="00AF71F5"/>
    <w:rsid w:val="00B0209D"/>
    <w:rsid w:val="00B07ED2"/>
    <w:rsid w:val="00B100B1"/>
    <w:rsid w:val="00B158A8"/>
    <w:rsid w:val="00B1716C"/>
    <w:rsid w:val="00B20F55"/>
    <w:rsid w:val="00B22CFC"/>
    <w:rsid w:val="00B240CE"/>
    <w:rsid w:val="00B26482"/>
    <w:rsid w:val="00B30EDD"/>
    <w:rsid w:val="00B36D6D"/>
    <w:rsid w:val="00B43E05"/>
    <w:rsid w:val="00B45428"/>
    <w:rsid w:val="00B5085E"/>
    <w:rsid w:val="00B5143E"/>
    <w:rsid w:val="00B54A82"/>
    <w:rsid w:val="00B57B2F"/>
    <w:rsid w:val="00B60AF7"/>
    <w:rsid w:val="00B616EF"/>
    <w:rsid w:val="00B6398C"/>
    <w:rsid w:val="00B7552A"/>
    <w:rsid w:val="00B77896"/>
    <w:rsid w:val="00B820E7"/>
    <w:rsid w:val="00B8637B"/>
    <w:rsid w:val="00B86B7C"/>
    <w:rsid w:val="00B9124D"/>
    <w:rsid w:val="00B9142C"/>
    <w:rsid w:val="00B92C10"/>
    <w:rsid w:val="00B958DC"/>
    <w:rsid w:val="00B966CF"/>
    <w:rsid w:val="00BA5697"/>
    <w:rsid w:val="00BA7248"/>
    <w:rsid w:val="00BB1294"/>
    <w:rsid w:val="00BB3263"/>
    <w:rsid w:val="00BB6983"/>
    <w:rsid w:val="00BC01F6"/>
    <w:rsid w:val="00BC3EA2"/>
    <w:rsid w:val="00BD14CA"/>
    <w:rsid w:val="00BD4463"/>
    <w:rsid w:val="00BD4989"/>
    <w:rsid w:val="00BD65CA"/>
    <w:rsid w:val="00BD73CD"/>
    <w:rsid w:val="00BE0905"/>
    <w:rsid w:val="00BE166B"/>
    <w:rsid w:val="00BE3CFA"/>
    <w:rsid w:val="00BE4612"/>
    <w:rsid w:val="00BF055B"/>
    <w:rsid w:val="00BF170E"/>
    <w:rsid w:val="00BF248A"/>
    <w:rsid w:val="00BF2EC1"/>
    <w:rsid w:val="00BF53EC"/>
    <w:rsid w:val="00C01FA2"/>
    <w:rsid w:val="00C0669F"/>
    <w:rsid w:val="00C10240"/>
    <w:rsid w:val="00C122AD"/>
    <w:rsid w:val="00C13C9D"/>
    <w:rsid w:val="00C1476E"/>
    <w:rsid w:val="00C23A6D"/>
    <w:rsid w:val="00C23BF8"/>
    <w:rsid w:val="00C304C4"/>
    <w:rsid w:val="00C33099"/>
    <w:rsid w:val="00C35712"/>
    <w:rsid w:val="00C36D1E"/>
    <w:rsid w:val="00C4060D"/>
    <w:rsid w:val="00C40D2D"/>
    <w:rsid w:val="00C42827"/>
    <w:rsid w:val="00C42A51"/>
    <w:rsid w:val="00C441BF"/>
    <w:rsid w:val="00C5200B"/>
    <w:rsid w:val="00C53503"/>
    <w:rsid w:val="00C548D4"/>
    <w:rsid w:val="00C54A46"/>
    <w:rsid w:val="00C54F98"/>
    <w:rsid w:val="00C57A51"/>
    <w:rsid w:val="00C608A7"/>
    <w:rsid w:val="00C6413C"/>
    <w:rsid w:val="00C6580A"/>
    <w:rsid w:val="00C65BF4"/>
    <w:rsid w:val="00C81373"/>
    <w:rsid w:val="00C844F4"/>
    <w:rsid w:val="00C9075A"/>
    <w:rsid w:val="00C92470"/>
    <w:rsid w:val="00C92747"/>
    <w:rsid w:val="00C96E1A"/>
    <w:rsid w:val="00CB6DB9"/>
    <w:rsid w:val="00CC23D6"/>
    <w:rsid w:val="00CC6903"/>
    <w:rsid w:val="00CC7579"/>
    <w:rsid w:val="00CD4279"/>
    <w:rsid w:val="00CD6239"/>
    <w:rsid w:val="00CD6684"/>
    <w:rsid w:val="00CE7F74"/>
    <w:rsid w:val="00CF3466"/>
    <w:rsid w:val="00CF4E81"/>
    <w:rsid w:val="00CF6A99"/>
    <w:rsid w:val="00CF7223"/>
    <w:rsid w:val="00D00876"/>
    <w:rsid w:val="00D10714"/>
    <w:rsid w:val="00D11AD6"/>
    <w:rsid w:val="00D124ED"/>
    <w:rsid w:val="00D21722"/>
    <w:rsid w:val="00D23CEA"/>
    <w:rsid w:val="00D37193"/>
    <w:rsid w:val="00D379F8"/>
    <w:rsid w:val="00D436F6"/>
    <w:rsid w:val="00D47D4A"/>
    <w:rsid w:val="00D52A24"/>
    <w:rsid w:val="00D541A7"/>
    <w:rsid w:val="00D64F74"/>
    <w:rsid w:val="00D70064"/>
    <w:rsid w:val="00D76E6E"/>
    <w:rsid w:val="00D80E5D"/>
    <w:rsid w:val="00D83305"/>
    <w:rsid w:val="00D8353B"/>
    <w:rsid w:val="00D8597B"/>
    <w:rsid w:val="00DA6AEF"/>
    <w:rsid w:val="00DA74CF"/>
    <w:rsid w:val="00DA7E72"/>
    <w:rsid w:val="00DB171E"/>
    <w:rsid w:val="00DB4FA5"/>
    <w:rsid w:val="00DB596B"/>
    <w:rsid w:val="00DC3725"/>
    <w:rsid w:val="00DC4FEE"/>
    <w:rsid w:val="00DC7C64"/>
    <w:rsid w:val="00DD3558"/>
    <w:rsid w:val="00DD5379"/>
    <w:rsid w:val="00DD6CE0"/>
    <w:rsid w:val="00DE75E9"/>
    <w:rsid w:val="00DF0C51"/>
    <w:rsid w:val="00DF59C0"/>
    <w:rsid w:val="00DF5FC0"/>
    <w:rsid w:val="00DF6956"/>
    <w:rsid w:val="00DF7A5F"/>
    <w:rsid w:val="00E11199"/>
    <w:rsid w:val="00E2024E"/>
    <w:rsid w:val="00E20C79"/>
    <w:rsid w:val="00E247DA"/>
    <w:rsid w:val="00E27BEB"/>
    <w:rsid w:val="00E30A7E"/>
    <w:rsid w:val="00E31724"/>
    <w:rsid w:val="00E36278"/>
    <w:rsid w:val="00E3669D"/>
    <w:rsid w:val="00E449EF"/>
    <w:rsid w:val="00E46949"/>
    <w:rsid w:val="00E46AA5"/>
    <w:rsid w:val="00E54697"/>
    <w:rsid w:val="00E62AAA"/>
    <w:rsid w:val="00E62F48"/>
    <w:rsid w:val="00E63772"/>
    <w:rsid w:val="00E64541"/>
    <w:rsid w:val="00E64618"/>
    <w:rsid w:val="00E64C7E"/>
    <w:rsid w:val="00E671EF"/>
    <w:rsid w:val="00E7026D"/>
    <w:rsid w:val="00E706DF"/>
    <w:rsid w:val="00E7259A"/>
    <w:rsid w:val="00E7552C"/>
    <w:rsid w:val="00E7553D"/>
    <w:rsid w:val="00E76B0A"/>
    <w:rsid w:val="00E77CEF"/>
    <w:rsid w:val="00E8111F"/>
    <w:rsid w:val="00E82E2C"/>
    <w:rsid w:val="00E831A4"/>
    <w:rsid w:val="00E92CED"/>
    <w:rsid w:val="00E9576F"/>
    <w:rsid w:val="00E97F89"/>
    <w:rsid w:val="00EB1222"/>
    <w:rsid w:val="00EB1290"/>
    <w:rsid w:val="00EC05D5"/>
    <w:rsid w:val="00EC2F17"/>
    <w:rsid w:val="00EC7623"/>
    <w:rsid w:val="00ED30BA"/>
    <w:rsid w:val="00EE251F"/>
    <w:rsid w:val="00EE45F0"/>
    <w:rsid w:val="00EF3A1F"/>
    <w:rsid w:val="00F01E7C"/>
    <w:rsid w:val="00F12C5F"/>
    <w:rsid w:val="00F12FFC"/>
    <w:rsid w:val="00F167FB"/>
    <w:rsid w:val="00F24A26"/>
    <w:rsid w:val="00F337F1"/>
    <w:rsid w:val="00F410AF"/>
    <w:rsid w:val="00F43F76"/>
    <w:rsid w:val="00F47775"/>
    <w:rsid w:val="00F5543C"/>
    <w:rsid w:val="00F5691D"/>
    <w:rsid w:val="00F60DF7"/>
    <w:rsid w:val="00F6371F"/>
    <w:rsid w:val="00F709A5"/>
    <w:rsid w:val="00F75C4D"/>
    <w:rsid w:val="00FA394B"/>
    <w:rsid w:val="00FB1EEB"/>
    <w:rsid w:val="00FB5404"/>
    <w:rsid w:val="00FC2A4C"/>
    <w:rsid w:val="00FC71B7"/>
    <w:rsid w:val="00FD465D"/>
    <w:rsid w:val="00FE3FCB"/>
    <w:rsid w:val="00FE68EC"/>
    <w:rsid w:val="00FF3FFD"/>
    <w:rsid w:val="00FF73BD"/>
    <w:rsid w:val="01214C67"/>
    <w:rsid w:val="015E3E10"/>
    <w:rsid w:val="022278B2"/>
    <w:rsid w:val="025D08EA"/>
    <w:rsid w:val="03F1578E"/>
    <w:rsid w:val="08065580"/>
    <w:rsid w:val="0CDA7707"/>
    <w:rsid w:val="0F8E4137"/>
    <w:rsid w:val="10046849"/>
    <w:rsid w:val="111D7BC2"/>
    <w:rsid w:val="177C13BA"/>
    <w:rsid w:val="1A9B2531"/>
    <w:rsid w:val="1B3C333B"/>
    <w:rsid w:val="1BBE5A49"/>
    <w:rsid w:val="1F7312F5"/>
    <w:rsid w:val="22BB723B"/>
    <w:rsid w:val="27201D62"/>
    <w:rsid w:val="27233601"/>
    <w:rsid w:val="28E15521"/>
    <w:rsid w:val="2E840E29"/>
    <w:rsid w:val="2EE23DA1"/>
    <w:rsid w:val="2FFB511A"/>
    <w:rsid w:val="32DF6F75"/>
    <w:rsid w:val="335F5D38"/>
    <w:rsid w:val="363B44C3"/>
    <w:rsid w:val="36D93CDC"/>
    <w:rsid w:val="377A101B"/>
    <w:rsid w:val="37EDA0CA"/>
    <w:rsid w:val="389B749B"/>
    <w:rsid w:val="3B60677A"/>
    <w:rsid w:val="3E1F437E"/>
    <w:rsid w:val="3FFDC988"/>
    <w:rsid w:val="40EE65D6"/>
    <w:rsid w:val="413B181B"/>
    <w:rsid w:val="41614FF9"/>
    <w:rsid w:val="441B5933"/>
    <w:rsid w:val="45264590"/>
    <w:rsid w:val="4657C7E0"/>
    <w:rsid w:val="47D424DD"/>
    <w:rsid w:val="49060960"/>
    <w:rsid w:val="490B5F77"/>
    <w:rsid w:val="4C667968"/>
    <w:rsid w:val="4D231498"/>
    <w:rsid w:val="4D5C3245"/>
    <w:rsid w:val="4DA22C22"/>
    <w:rsid w:val="508D1967"/>
    <w:rsid w:val="51AA02F7"/>
    <w:rsid w:val="543D5452"/>
    <w:rsid w:val="54890697"/>
    <w:rsid w:val="565A22EB"/>
    <w:rsid w:val="586236D9"/>
    <w:rsid w:val="59CC52AE"/>
    <w:rsid w:val="5A821E11"/>
    <w:rsid w:val="5AC56E01"/>
    <w:rsid w:val="5B67401C"/>
    <w:rsid w:val="5BDB3ECE"/>
    <w:rsid w:val="5C5E240A"/>
    <w:rsid w:val="5F04373C"/>
    <w:rsid w:val="60C211B9"/>
    <w:rsid w:val="63F83144"/>
    <w:rsid w:val="666A657B"/>
    <w:rsid w:val="671743B3"/>
    <w:rsid w:val="67FD2B81"/>
    <w:rsid w:val="67FF83D4"/>
    <w:rsid w:val="684D7F02"/>
    <w:rsid w:val="688F658F"/>
    <w:rsid w:val="69545B61"/>
    <w:rsid w:val="6B5D66AE"/>
    <w:rsid w:val="6B8A6D77"/>
    <w:rsid w:val="6C3A326B"/>
    <w:rsid w:val="6FAE60FA"/>
    <w:rsid w:val="6FC62348"/>
    <w:rsid w:val="7101188A"/>
    <w:rsid w:val="724063E2"/>
    <w:rsid w:val="73A82490"/>
    <w:rsid w:val="73F76F74"/>
    <w:rsid w:val="76561840"/>
    <w:rsid w:val="7722255A"/>
    <w:rsid w:val="77366FAD"/>
    <w:rsid w:val="774B0EBA"/>
    <w:rsid w:val="77D837B0"/>
    <w:rsid w:val="78866B18"/>
    <w:rsid w:val="79C478F8"/>
    <w:rsid w:val="7AA339B1"/>
    <w:rsid w:val="7B3FBEB8"/>
    <w:rsid w:val="7B9B28DB"/>
    <w:rsid w:val="7D8A2C07"/>
    <w:rsid w:val="7F2F09A2"/>
    <w:rsid w:val="7FBF12B5"/>
    <w:rsid w:val="7FF59ECB"/>
    <w:rsid w:val="7FFACE69"/>
    <w:rsid w:val="7FFFFAE7"/>
    <w:rsid w:val="B7FDC9D4"/>
    <w:rsid w:val="BFFD0054"/>
    <w:rsid w:val="BFFF1C30"/>
    <w:rsid w:val="D8FF3262"/>
    <w:rsid w:val="D9F6AE1C"/>
    <w:rsid w:val="DEABE179"/>
    <w:rsid w:val="DF9FD28B"/>
    <w:rsid w:val="DFBE5F9B"/>
    <w:rsid w:val="DFD24CF9"/>
    <w:rsid w:val="DFFBDF28"/>
    <w:rsid w:val="E7FFA168"/>
    <w:rsid w:val="EBFBCEDC"/>
    <w:rsid w:val="F5CE0497"/>
    <w:rsid w:val="F7DE532A"/>
    <w:rsid w:val="FBBF6110"/>
    <w:rsid w:val="FCFB5BFF"/>
    <w:rsid w:val="FE3E94CE"/>
    <w:rsid w:val="FF3F79A0"/>
    <w:rsid w:val="FF6E25DD"/>
    <w:rsid w:val="FF7F82D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jc w:val="both"/>
    </w:pPr>
    <w:rPr>
      <w:rFonts w:ascii="Times New Roman" w:hAnsi="Times New Roman" w:eastAsia="宋体" w:cs="Times New Roman"/>
      <w:sz w:val="22"/>
      <w:lang w:val="en-GB" w:eastAsia="zh-CN" w:bidi="ar-SA"/>
    </w:rPr>
  </w:style>
  <w:style w:type="paragraph" w:styleId="2">
    <w:name w:val="heading 1"/>
    <w:basedOn w:val="1"/>
    <w:next w:val="1"/>
    <w:qFormat/>
    <w:uiPriority w:val="0"/>
    <w:pPr>
      <w:keepNext/>
      <w:pageBreakBefore/>
      <w:numPr>
        <w:ilvl w:val="0"/>
        <w:numId w:val="1"/>
      </w:numPr>
      <w:spacing w:before="240" w:after="60"/>
      <w:outlineLvl w:val="0"/>
    </w:pPr>
    <w:rPr>
      <w:b/>
      <w:kern w:val="28"/>
      <w:sz w:val="32"/>
    </w:rPr>
  </w:style>
  <w:style w:type="paragraph" w:styleId="3">
    <w:name w:val="heading 2"/>
    <w:basedOn w:val="1"/>
    <w:next w:val="1"/>
    <w:qFormat/>
    <w:uiPriority w:val="0"/>
    <w:pPr>
      <w:keepNext/>
      <w:numPr>
        <w:ilvl w:val="1"/>
        <w:numId w:val="1"/>
      </w:numPr>
      <w:spacing w:before="240" w:after="60"/>
      <w:outlineLvl w:val="1"/>
    </w:pPr>
    <w:rPr>
      <w:b/>
      <w:i/>
      <w:sz w:val="28"/>
    </w:rPr>
  </w:style>
  <w:style w:type="paragraph" w:styleId="4">
    <w:name w:val="heading 3"/>
    <w:basedOn w:val="1"/>
    <w:next w:val="1"/>
    <w:qFormat/>
    <w:uiPriority w:val="0"/>
    <w:pPr>
      <w:keepNext/>
      <w:numPr>
        <w:ilvl w:val="2"/>
        <w:numId w:val="1"/>
      </w:numPr>
      <w:spacing w:before="240" w:after="60"/>
      <w:outlineLvl w:val="2"/>
    </w:pPr>
    <w:rPr>
      <w:b/>
    </w:rPr>
  </w:style>
  <w:style w:type="paragraph" w:styleId="5">
    <w:name w:val="heading 4"/>
    <w:basedOn w:val="1"/>
    <w:next w:val="1"/>
    <w:qFormat/>
    <w:uiPriority w:val="0"/>
    <w:pPr>
      <w:keepNext/>
      <w:numPr>
        <w:ilvl w:val="3"/>
        <w:numId w:val="1"/>
      </w:numPr>
      <w:spacing w:before="240" w:after="60"/>
      <w:outlineLvl w:val="3"/>
    </w:pPr>
    <w:rPr>
      <w:b/>
      <w:i/>
    </w:rPr>
  </w:style>
  <w:style w:type="paragraph" w:styleId="6">
    <w:name w:val="heading 5"/>
    <w:basedOn w:val="5"/>
    <w:next w:val="1"/>
    <w:qFormat/>
    <w:uiPriority w:val="0"/>
    <w:pPr>
      <w:pageBreakBefore/>
      <w:numPr>
        <w:ilvl w:val="4"/>
        <w:numId w:val="1"/>
      </w:numPr>
      <w:outlineLvl w:val="4"/>
    </w:pPr>
    <w:rPr>
      <w:i w:val="0"/>
    </w:rPr>
  </w:style>
  <w:style w:type="paragraph" w:styleId="7">
    <w:name w:val="heading 6"/>
    <w:basedOn w:val="1"/>
    <w:next w:val="1"/>
    <w:qFormat/>
    <w:uiPriority w:val="0"/>
    <w:pPr>
      <w:numPr>
        <w:ilvl w:val="5"/>
        <w:numId w:val="1"/>
      </w:numPr>
      <w:spacing w:before="240" w:after="60"/>
      <w:outlineLvl w:val="5"/>
    </w:pPr>
    <w:rPr>
      <w:rFonts w:ascii="Arial" w:hAnsi="Arial"/>
      <w:i/>
    </w:rPr>
  </w:style>
  <w:style w:type="paragraph" w:styleId="8">
    <w:name w:val="heading 7"/>
    <w:basedOn w:val="1"/>
    <w:next w:val="1"/>
    <w:qFormat/>
    <w:uiPriority w:val="0"/>
    <w:pPr>
      <w:numPr>
        <w:ilvl w:val="6"/>
        <w:numId w:val="1"/>
      </w:numPr>
      <w:spacing w:before="240" w:after="60"/>
      <w:outlineLvl w:val="6"/>
    </w:pPr>
    <w:rPr>
      <w:rFonts w:ascii="Arial" w:hAnsi="Arial"/>
      <w:sz w:val="20"/>
    </w:rPr>
  </w:style>
  <w:style w:type="paragraph" w:styleId="9">
    <w:name w:val="heading 8"/>
    <w:basedOn w:val="1"/>
    <w:next w:val="1"/>
    <w:qFormat/>
    <w:uiPriority w:val="0"/>
    <w:pPr>
      <w:numPr>
        <w:ilvl w:val="7"/>
        <w:numId w:val="1"/>
      </w:numPr>
      <w:spacing w:before="240" w:after="60"/>
      <w:outlineLvl w:val="7"/>
    </w:pPr>
    <w:rPr>
      <w:rFonts w:ascii="Arial" w:hAnsi="Arial"/>
      <w:i/>
      <w:sz w:val="20"/>
    </w:rPr>
  </w:style>
  <w:style w:type="paragraph" w:styleId="10">
    <w:name w:val="heading 9"/>
    <w:basedOn w:val="1"/>
    <w:next w:val="1"/>
    <w:qFormat/>
    <w:uiPriority w:val="0"/>
    <w:pPr>
      <w:numPr>
        <w:ilvl w:val="8"/>
        <w:numId w:val="1"/>
      </w:numPr>
      <w:spacing w:before="240" w:after="60"/>
      <w:outlineLvl w:val="8"/>
    </w:pPr>
    <w:rPr>
      <w:rFonts w:ascii="Arial" w:hAnsi="Arial"/>
      <w:i/>
      <w:sz w:val="18"/>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List Number"/>
    <w:basedOn w:val="1"/>
    <w:qFormat/>
    <w:uiPriority w:val="0"/>
    <w:pPr>
      <w:numPr>
        <w:ilvl w:val="0"/>
        <w:numId w:val="0"/>
      </w:numPr>
      <w:ind w:left="283" w:hanging="283"/>
    </w:pPr>
  </w:style>
  <w:style w:type="paragraph" w:styleId="12">
    <w:name w:val="Document Map"/>
    <w:basedOn w:val="1"/>
    <w:semiHidden/>
    <w:qFormat/>
    <w:uiPriority w:val="0"/>
    <w:pPr>
      <w:shd w:val="clear" w:color="auto" w:fill="000080"/>
    </w:pPr>
    <w:rPr>
      <w:rFonts w:ascii="Tahoma" w:hAnsi="Tahoma" w:cs="Tahoma"/>
      <w:sz w:val="20"/>
    </w:rPr>
  </w:style>
  <w:style w:type="paragraph" w:styleId="13">
    <w:name w:val="annotation text"/>
    <w:basedOn w:val="1"/>
    <w:semiHidden/>
    <w:qFormat/>
    <w:uiPriority w:val="0"/>
    <w:pPr>
      <w:jc w:val="left"/>
    </w:pPr>
  </w:style>
  <w:style w:type="paragraph" w:styleId="14">
    <w:name w:val="Body Text"/>
    <w:basedOn w:val="1"/>
    <w:semiHidden/>
    <w:qFormat/>
    <w:uiPriority w:val="0"/>
    <w:pPr>
      <w:spacing w:after="120"/>
    </w:pPr>
    <w:rPr>
      <w:rFonts w:eastAsia="楷体_GB2312"/>
      <w:sz w:val="24"/>
    </w:rPr>
  </w:style>
  <w:style w:type="paragraph" w:styleId="15">
    <w:name w:val="List Bullet 5"/>
    <w:basedOn w:val="1"/>
    <w:qFormat/>
    <w:uiPriority w:val="0"/>
    <w:pPr>
      <w:tabs>
        <w:tab w:val="left" w:pos="283"/>
      </w:tabs>
      <w:overflowPunct w:val="0"/>
      <w:autoSpaceDE w:val="0"/>
      <w:autoSpaceDN w:val="0"/>
      <w:adjustRightInd w:val="0"/>
      <w:spacing w:after="0"/>
      <w:textAlignment w:val="baseline"/>
    </w:pPr>
    <w:rPr>
      <w:rFonts w:ascii="宋体" w:hAnsi="宋体"/>
      <w:kern w:val="2"/>
      <w:sz w:val="20"/>
    </w:rPr>
  </w:style>
  <w:style w:type="paragraph" w:styleId="16">
    <w:name w:val="Balloon Text"/>
    <w:basedOn w:val="1"/>
    <w:semiHidden/>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footnote text"/>
    <w:basedOn w:val="1"/>
    <w:link w:val="28"/>
    <w:qFormat/>
    <w:uiPriority w:val="0"/>
    <w:pPr>
      <w:snapToGrid w:val="0"/>
      <w:jc w:val="left"/>
    </w:pPr>
    <w:rPr>
      <w:sz w:val="18"/>
      <w:szCs w:val="18"/>
    </w:rPr>
  </w:style>
  <w:style w:type="paragraph" w:styleId="20">
    <w:name w:val="Normal (Web)"/>
    <w:basedOn w:val="1"/>
    <w:uiPriority w:val="0"/>
    <w:pPr>
      <w:spacing w:before="0" w:beforeAutospacing="1" w:after="0" w:afterAutospacing="1"/>
      <w:ind w:left="0" w:right="0"/>
      <w:jc w:val="left"/>
    </w:pPr>
    <w:rPr>
      <w:kern w:val="0"/>
      <w:sz w:val="24"/>
      <w:lang w:val="en-US" w:eastAsia="zh-CN" w:bidi="ar"/>
    </w:rPr>
  </w:style>
  <w:style w:type="paragraph" w:styleId="21">
    <w:name w:val="annotation subject"/>
    <w:basedOn w:val="13"/>
    <w:next w:val="13"/>
    <w:semiHidden/>
    <w:qFormat/>
    <w:uiPriority w:val="0"/>
    <w:rPr>
      <w:b/>
      <w:bCs/>
    </w:rPr>
  </w:style>
  <w:style w:type="paragraph" w:styleId="22">
    <w:name w:val="Body Text First Indent"/>
    <w:basedOn w:val="14"/>
    <w:semiHidden/>
    <w:qFormat/>
    <w:uiPriority w:val="0"/>
    <w:pPr>
      <w:widowControl/>
      <w:overflowPunct w:val="0"/>
      <w:autoSpaceDE w:val="0"/>
      <w:autoSpaceDN w:val="0"/>
      <w:adjustRightInd w:val="0"/>
      <w:snapToGrid w:val="0"/>
      <w:spacing w:before="120"/>
      <w:ind w:firstLine="420"/>
      <w:jc w:val="left"/>
      <w:textAlignment w:val="baseline"/>
    </w:pPr>
    <w:rPr>
      <w:rFonts w:eastAsia="楷体"/>
      <w:spacing w:val="-5"/>
      <w:kern w:val="0"/>
    </w:rPr>
  </w:style>
  <w:style w:type="table" w:styleId="24">
    <w:name w:val="Table Grid"/>
    <w:basedOn w:val="23"/>
    <w:qFormat/>
    <w:uiPriority w:val="0"/>
    <w:pPr>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annotation reference"/>
    <w:semiHidden/>
    <w:qFormat/>
    <w:uiPriority w:val="0"/>
    <w:rPr>
      <w:sz w:val="21"/>
      <w:szCs w:val="21"/>
    </w:rPr>
  </w:style>
  <w:style w:type="character" w:styleId="27">
    <w:name w:val="footnote reference"/>
    <w:qFormat/>
    <w:uiPriority w:val="0"/>
    <w:rPr>
      <w:vertAlign w:val="superscript"/>
    </w:rPr>
  </w:style>
  <w:style w:type="character" w:customStyle="1" w:styleId="28">
    <w:name w:val="脚注文本 Char"/>
    <w:link w:val="19"/>
    <w:qFormat/>
    <w:uiPriority w:val="0"/>
    <w:rPr>
      <w:sz w:val="18"/>
      <w:szCs w:val="18"/>
      <w:lang w:val="en-GB"/>
    </w:rPr>
  </w:style>
  <w:style w:type="paragraph" w:customStyle="1" w:styleId="29">
    <w:name w:val=" Char Char Char Char Char Char Char Char Char"/>
    <w:basedOn w:val="1"/>
    <w:qFormat/>
    <w:uiPriority w:val="0"/>
    <w:pPr>
      <w:widowControl w:val="0"/>
      <w:spacing w:after="0"/>
    </w:pPr>
    <w:rPr>
      <w:rFonts w:ascii="Tahoma" w:hAnsi="Tahoma"/>
      <w:kern w:val="2"/>
      <w:sz w:val="24"/>
      <w:lang w:val="en-US"/>
    </w:rPr>
  </w:style>
  <w:style w:type="paragraph" w:customStyle="1" w:styleId="30">
    <w:name w:val=" Char Char Char"/>
    <w:basedOn w:val="1"/>
    <w:qFormat/>
    <w:uiPriority w:val="0"/>
    <w:pPr>
      <w:widowControl w:val="0"/>
      <w:spacing w:after="0"/>
    </w:pPr>
    <w:rPr>
      <w:rFonts w:ascii="Tahoma" w:hAnsi="Tahoma"/>
      <w:kern w:val="2"/>
      <w:sz w:val="24"/>
      <w:lang w:val="en-US"/>
    </w:rPr>
  </w:style>
  <w:style w:type="paragraph" w:customStyle="1" w:styleId="31">
    <w:name w:val=" Char Char Char Char Char Char Char"/>
    <w:basedOn w:val="1"/>
    <w:qFormat/>
    <w:uiPriority w:val="0"/>
    <w:pPr>
      <w:widowControl w:val="0"/>
      <w:spacing w:after="0"/>
    </w:pPr>
    <w:rPr>
      <w:rFonts w:ascii="Tahoma" w:hAnsi="Tahoma"/>
      <w:kern w:val="2"/>
      <w:sz w:val="24"/>
      <w:lang w:val="en-US"/>
    </w:rPr>
  </w:style>
  <w:style w:type="paragraph" w:customStyle="1" w:styleId="32">
    <w:name w:val="Style Heading 2 + Bold Italic"/>
    <w:basedOn w:val="3"/>
    <w:next w:val="1"/>
    <w:link w:val="33"/>
    <w:qFormat/>
    <w:uiPriority w:val="0"/>
    <w:pPr>
      <w:numPr>
        <w:ilvl w:val="0"/>
        <w:numId w:val="2"/>
      </w:numPr>
      <w:tabs>
        <w:tab w:val="clear" w:pos="900"/>
      </w:tabs>
      <w:spacing w:before="0" w:after="120"/>
      <w:ind w:hanging="1407"/>
    </w:pPr>
    <w:rPr>
      <w:rFonts w:ascii="Arial Bold" w:hAnsi="Arial Bold"/>
      <w:bCs/>
      <w:i w:val="0"/>
      <w:iCs/>
      <w:szCs w:val="28"/>
      <w:lang w:val="en-AU"/>
    </w:rPr>
  </w:style>
  <w:style w:type="character" w:customStyle="1" w:styleId="33">
    <w:name w:val="Style Heading 2 + Bold Italic Char"/>
    <w:link w:val="32"/>
    <w:qFormat/>
    <w:uiPriority w:val="0"/>
    <w:rPr>
      <w:rFonts w:ascii="Arial Bold" w:hAnsi="Arial Bold" w:eastAsia="宋体"/>
      <w:b/>
      <w:bCs/>
      <w:iCs/>
      <w:sz w:val="28"/>
      <w:szCs w:val="28"/>
      <w:lang w:val="en-AU" w:bidi="ar-SA"/>
    </w:rPr>
  </w:style>
  <w:style w:type="paragraph" w:customStyle="1" w:styleId="34">
    <w:name w:val="正式正文"/>
    <w:basedOn w:val="1"/>
    <w:qFormat/>
    <w:uiPriority w:val="0"/>
    <w:pPr>
      <w:spacing w:line="312" w:lineRule="auto"/>
      <w:ind w:firstLine="200" w:firstLineChars="200"/>
    </w:pPr>
    <w:rPr>
      <w:rFonts w:ascii="Times New Roman" w:hAnsi="Times New Roman" w:eastAsia="宋体" w:cs="Times New Roman"/>
      <w:sz w:val="24"/>
      <w:szCs w:val="20"/>
    </w:rPr>
  </w:style>
  <w:style w:type="paragraph" w:customStyle="1" w:styleId="35">
    <w:name w:val="二级标题"/>
    <w:basedOn w:val="1"/>
    <w:next w:val="1"/>
    <w:qFormat/>
    <w:uiPriority w:val="0"/>
    <w:pPr>
      <w:numPr>
        <w:ilvl w:val="1"/>
        <w:numId w:val="3"/>
      </w:numPr>
      <w:tabs>
        <w:tab w:val="left" w:pos="454"/>
        <w:tab w:val="left" w:pos="1680"/>
      </w:tabs>
      <w:spacing w:before="60" w:after="60"/>
      <w:outlineLvl w:val="1"/>
    </w:pPr>
    <w:rPr>
      <w:rFonts w:ascii="Times New Roman" w:hAnsi="Times New Roman" w:eastAsia="宋体" w:cs="Times New Roman"/>
      <w:b/>
      <w:sz w:val="28"/>
      <w:szCs w:val="20"/>
    </w:rPr>
  </w:style>
  <w:style w:type="paragraph" w:customStyle="1" w:styleId="36">
    <w:name w:val="三级标题"/>
    <w:basedOn w:val="1"/>
    <w:next w:val="1"/>
    <w:qFormat/>
    <w:uiPriority w:val="0"/>
    <w:pPr>
      <w:numPr>
        <w:ilvl w:val="2"/>
        <w:numId w:val="3"/>
      </w:numPr>
      <w:tabs>
        <w:tab w:val="left" w:pos="2100"/>
      </w:tabs>
      <w:spacing w:before="60" w:after="60"/>
      <w:outlineLvl w:val="2"/>
    </w:pPr>
    <w:rPr>
      <w:rFonts w:ascii="Times New Roman" w:hAnsi="Times New Roman" w:eastAsia="宋体" w:cs="Times New Roman"/>
      <w:b/>
      <w:sz w:val="28"/>
      <w:szCs w:val="20"/>
    </w:rPr>
  </w:style>
  <w:style w:type="paragraph" w:customStyle="1" w:styleId="37">
    <w:name w:val="正文1"/>
    <w:basedOn w:val="1"/>
    <w:qFormat/>
    <w:uiPriority w:val="0"/>
    <w:pPr>
      <w:widowControl/>
      <w:spacing w:line="360" w:lineRule="auto"/>
      <w:ind w:firstLine="200" w:firstLineChars="200"/>
      <w:jc w:val="left"/>
    </w:pPr>
    <w:rPr>
      <w:rFonts w:ascii="Arial" w:hAnsi="Arial"/>
      <w:kern w:val="0"/>
      <w:sz w:val="20"/>
      <w:lang w:val="zh-CN"/>
    </w:rPr>
  </w:style>
  <w:style w:type="paragraph" w:customStyle="1" w:styleId="38">
    <w:name w:val="EY Table Heading"/>
    <w:basedOn w:val="1"/>
    <w:qFormat/>
    <w:uiPriority w:val="0"/>
    <w:pPr>
      <w:widowControl/>
      <w:spacing w:before="60" w:after="60"/>
      <w:jc w:val="left"/>
    </w:pPr>
    <w:rPr>
      <w:rFonts w:ascii="EYInterstate Regular" w:hAnsi="EYInterstate Regular"/>
      <w:color w:val="808080"/>
      <w:kern w:val="0"/>
      <w:sz w:val="16"/>
      <w:lang w:eastAsia="en-US"/>
    </w:rPr>
  </w:style>
</w:styles>
</file>

<file path=word/_rels/document.xml.rels><?xml version="1.0" encoding="UTF-8" standalone="yes"?>
<Relationships xmlns="http://schemas.openxmlformats.org/package/2006/relationships"><Relationship Id="rId9" Type="http://schemas.openxmlformats.org/officeDocument/2006/relationships/control" Target="activeX/activeX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3.png"/><Relationship Id="rId17" Type="http://schemas.openxmlformats.org/officeDocument/2006/relationships/control" Target="activeX/activeX7.xml"/><Relationship Id="rId16" Type="http://schemas.openxmlformats.org/officeDocument/2006/relationships/control" Target="activeX/activeX6.xml"/><Relationship Id="rId15" Type="http://schemas.openxmlformats.org/officeDocument/2006/relationships/control" Target="activeX/activeX5.xml"/><Relationship Id="rId14" Type="http://schemas.openxmlformats.org/officeDocument/2006/relationships/control" Target="activeX/activeX4.xml"/><Relationship Id="rId13" Type="http://schemas.openxmlformats.org/officeDocument/2006/relationships/control" Target="activeX/activeX3.xml"/><Relationship Id="rId12" Type="http://schemas.openxmlformats.org/officeDocument/2006/relationships/image" Target="media/image2.wmf"/><Relationship Id="rId11" Type="http://schemas.openxmlformats.org/officeDocument/2006/relationships/control" Target="activeX/activeX2.xml"/><Relationship Id="rId10" Type="http://schemas.openxmlformats.org/officeDocument/2006/relationships/image" Target="media/image1.wmf"/><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4.bin"/></Relationships>
</file>

<file path=word/activeX/_rels/activeX3.xml.rels><?xml version="1.0" encoding="UTF-8" standalone="yes"?>
<Relationships xmlns="http://schemas.openxmlformats.org/package/2006/relationships"><Relationship Id="rId1" Type="http://schemas.microsoft.com/office/2006/relationships/activeXControlBinary" Target="activeX7.bin"/></Relationships>
</file>

<file path=word/activeX/_rels/activeX4.xml.rels><?xml version="1.0" encoding="UTF-8" standalone="yes"?>
<Relationships xmlns="http://schemas.openxmlformats.org/package/2006/relationships"><Relationship Id="rId1" Type="http://schemas.microsoft.com/office/2006/relationships/activeXControlBinary" Target="activeX3.bin"/></Relationships>
</file>

<file path=word/activeX/_rels/activeX5.xml.rels><?xml version="1.0" encoding="UTF-8" standalone="yes"?>
<Relationships xmlns="http://schemas.openxmlformats.org/package/2006/relationships"><Relationship Id="rId1" Type="http://schemas.microsoft.com/office/2006/relationships/activeXControlBinary" Target="activeX2.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activeX/activeX3.xml><?xml version="1.0" encoding="utf-8"?>
<ax:ocx xmlns:ax="http://schemas.microsoft.com/office/2006/activeX" xmlns:r="http://schemas.openxmlformats.org/officeDocument/2006/relationships" ax:classid="{8BD21D40-EC42-11CE-9E0D-00AA006002F3}" r:id="rId1" ax:persistence="persistStorage"/>
</file>

<file path=word/activeX/activeX4.xml><?xml version="1.0" encoding="utf-8"?>
<ax:ocx xmlns:ax="http://schemas.microsoft.com/office/2006/activeX" xmlns:r="http://schemas.openxmlformats.org/officeDocument/2006/relationships" ax:classid="{8BD21D40-EC42-11CE-9E0D-00AA006002F3}" r:id="rId1" ax:persistence="persistStorage"/>
</file>

<file path=word/activeX/activeX5.xml><?xml version="1.0" encoding="utf-8"?>
<ax:ocx xmlns:ax="http://schemas.microsoft.com/office/2006/activeX" xmlns:r="http://schemas.openxmlformats.org/officeDocument/2006/relationships" ax:classid="{8BD21D40-EC42-11CE-9E0D-00AA006002F3}" r:id="rId1" ax:persistence="persistStorage"/>
</file>

<file path=word/activeX/activeX6.xml><?xml version="1.0" encoding="utf-8"?>
<ax:ocx xmlns:ax="http://schemas.microsoft.com/office/2006/activeX" xmlns:r="http://schemas.openxmlformats.org/officeDocument/2006/relationships" ax:classid="{8BD21D40-EC42-11CE-9E0D-00AA006002F3}" r:id="rId1" ax:persistence="persistStorage"/>
</file>

<file path=word/activeX/activeX7.xml><?xml version="1.0" encoding="utf-8"?>
<ax:ocx xmlns:ax="http://schemas.microsoft.com/office/2006/activeX" xmlns:r="http://schemas.openxmlformats.org/officeDocument/2006/relationships" ax:classid="{8BD21D40-EC42-11CE-9E0D-00AA006002F3}" r:id="rId1" ax:persistence="persistStorag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1655</Words>
  <Characters>1699</Characters>
  <Lines>7</Lines>
  <Paragraphs>2</Paragraphs>
  <TotalTime>10</TotalTime>
  <ScaleCrop>false</ScaleCrop>
  <LinksUpToDate>false</LinksUpToDate>
  <CharactersWithSpaces>1724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2015-11-17T06:33:00Z</dcterms:created>
  <dc:creator>c</dc:creator>
  <cp:lastModifiedBy>黄馨检</cp:lastModifiedBy>
  <cp:lastPrinted>2012-12-01T07:08:00Z</cp:lastPrinted>
  <dcterms:modified xsi:type="dcterms:W3CDTF">2025-03-31T17:13:18Z</dcterms:modified>
  <dc:title>附件 F</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6D99652F64DC48D5B8713F0EBEADEE34_13</vt:lpwstr>
  </property>
  <property fmtid="{D5CDD505-2E9C-101B-9397-08002B2CF9AE}" pid="4" name="KSOTemplateDocerSaveRecord">
    <vt:lpwstr>eyJoZGlkIjoiMjRiMzljYTFlZDM2YzMyYTZjYTM5Zjk5YTU0NWM3NjUiLCJ1c2VySWQiOiIyMzY1MDI4NzEifQ==</vt:lpwstr>
  </property>
</Properties>
</file>