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459" w14:textId="77777777" w:rsidR="00463667" w:rsidRPr="00D50B3B" w:rsidRDefault="00731397">
      <w:pPr>
        <w:rPr>
          <w:b/>
        </w:rPr>
      </w:pPr>
      <w:r w:rsidRPr="00D50B3B">
        <w:rPr>
          <w:b/>
        </w:rPr>
        <w:t>Challenges</w:t>
      </w:r>
    </w:p>
    <w:p w14:paraId="5BCD3868" w14:textId="133EEB88" w:rsidR="00731397" w:rsidRPr="00731397" w:rsidRDefault="00731397" w:rsidP="00731397">
      <w:r>
        <w:t>A</w:t>
      </w:r>
      <w:r w:rsidRPr="00C55DF8">
        <w:t xml:space="preserve">ll countries will have to step up efforts to make their </w:t>
      </w:r>
      <w:r>
        <w:t xml:space="preserve">adult learning </w:t>
      </w:r>
      <w:r w:rsidRPr="00C55DF8">
        <w:t xml:space="preserve">systems </w:t>
      </w:r>
      <w:r>
        <w:t>ready</w:t>
      </w:r>
      <w:r w:rsidRPr="00C55DF8">
        <w:t xml:space="preserve"> for the future</w:t>
      </w:r>
      <w:r w:rsidR="00F67A4B">
        <w:t>. S</w:t>
      </w:r>
      <w:r>
        <w:t xml:space="preserve">ome countries are facing greater </w:t>
      </w:r>
      <w:r w:rsidR="00F67A4B">
        <w:t xml:space="preserve">pressure to do so than others, </w:t>
      </w:r>
      <w:r>
        <w:t xml:space="preserve">due to factors such as low </w:t>
      </w:r>
      <w:r w:rsidRPr="00C55DF8">
        <w:t>adult skill levels, demographic and structur</w:t>
      </w:r>
      <w:r>
        <w:t>al change, and the resulting skill imbalances</w:t>
      </w:r>
      <w:r w:rsidDel="008C0394">
        <w:t>.</w:t>
      </w:r>
      <w:r>
        <w:t xml:space="preserve"> </w:t>
      </w:r>
      <w:r>
        <w:rPr>
          <w:lang w:val="en-US"/>
        </w:rPr>
        <w:t>In many countries</w:t>
      </w:r>
      <w:r w:rsidR="00FF33B1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participation in adult learning activities remains limited, </w:t>
      </w:r>
      <w:r w:rsidR="00263A15">
        <w:rPr>
          <w:lang w:val="en-US"/>
        </w:rPr>
        <w:t xml:space="preserve">in particular by those groups most in need of up- and reskilling.  </w:t>
      </w:r>
    </w:p>
    <w:p w14:paraId="6AF9D1F5" w14:textId="77777777" w:rsidR="00731397" w:rsidRPr="00731397" w:rsidRDefault="00731397"/>
    <w:p w14:paraId="0CF89E97" w14:textId="77777777" w:rsidR="00731397" w:rsidRPr="00B94605" w:rsidRDefault="00731397" w:rsidP="00B94605">
      <w:pPr>
        <w:ind w:left="720"/>
        <w:rPr>
          <w:b/>
        </w:rPr>
      </w:pPr>
      <w:r w:rsidRPr="00B94605">
        <w:rPr>
          <w:b/>
        </w:rPr>
        <w:t>Urgency</w:t>
      </w:r>
    </w:p>
    <w:p w14:paraId="38E8C0A0" w14:textId="551E6D6A" w:rsidR="001E7A81" w:rsidRDefault="00263A15" w:rsidP="002D1282">
      <w:pPr>
        <w:ind w:left="720"/>
      </w:pPr>
      <w:r>
        <w:t>New</w:t>
      </w:r>
      <w:r w:rsidR="001E7A81">
        <w:t xml:space="preserve"> technologies, globalisation</w:t>
      </w:r>
      <w:r w:rsidR="002D1282">
        <w:t xml:space="preserve"> and population ageing are influencing the quantity and quality of jobs that are available and the skill-sets they require.</w:t>
      </w:r>
      <w:r w:rsidR="001E7A81">
        <w:t xml:space="preserve"> Skill imbalances are emerging and many adults lack strong foundational skills to help them access new opportunities.</w:t>
      </w:r>
      <w:r>
        <w:t xml:space="preserve"> All these factors increase the need for opportunities for up- and reskilling.</w:t>
      </w:r>
      <w:r w:rsidR="001E7A81">
        <w:t xml:space="preserve"> The </w:t>
      </w:r>
      <w:r w:rsidR="001E7A81" w:rsidRPr="001E7A81">
        <w:rPr>
          <w:i/>
        </w:rPr>
        <w:t>urgency</w:t>
      </w:r>
      <w:r w:rsidR="001E7A81">
        <w:t xml:space="preserve"> dimension </w:t>
      </w:r>
      <w:r w:rsidR="00F36EE5" w:rsidRPr="00F36EE5">
        <w:t>a</w:t>
      </w:r>
      <w:r>
        <w:t>ssesses</w:t>
      </w:r>
      <w:r w:rsidR="001E7A81">
        <w:t xml:space="preserve"> how pressing the challenges are in different countries.</w:t>
      </w:r>
    </w:p>
    <w:p w14:paraId="543295B0" w14:textId="77777777" w:rsidR="00731397" w:rsidRPr="00731397" w:rsidRDefault="001E7A81" w:rsidP="002D1282">
      <w:pPr>
        <w:ind w:left="720"/>
      </w:pPr>
      <w:r>
        <w:t xml:space="preserve"> </w:t>
      </w:r>
    </w:p>
    <w:p w14:paraId="33A5596E" w14:textId="77777777" w:rsidR="00731397" w:rsidRDefault="001E7A81" w:rsidP="00B94605">
      <w:pPr>
        <w:ind w:left="720"/>
        <w:rPr>
          <w:b/>
        </w:rPr>
      </w:pPr>
      <w:r>
        <w:rPr>
          <w:b/>
        </w:rPr>
        <w:t>Coverage</w:t>
      </w:r>
    </w:p>
    <w:p w14:paraId="65282185" w14:textId="7727148E" w:rsidR="00263A15" w:rsidRDefault="001E7A81" w:rsidP="00B94605">
      <w:pPr>
        <w:ind w:left="720"/>
        <w:rPr>
          <w:color w:val="000000" w:themeColor="text1"/>
          <w:lang w:val="en-US"/>
        </w:rPr>
      </w:pPr>
      <w:r>
        <w:rPr>
          <w:lang w:val="en-US"/>
        </w:rPr>
        <w:t xml:space="preserve">In a changing world of work, increasing everyone’s engagement in adult learning is key to their sustained social and economic inclusion. </w:t>
      </w:r>
      <w:r w:rsidRPr="00DA0336">
        <w:rPr>
          <w:color w:val="000000" w:themeColor="text1"/>
          <w:lang w:val="en-US"/>
        </w:rPr>
        <w:t>It is also critical to ensure that firms have access to the skills they need to stay competitive.</w:t>
      </w:r>
      <w:r>
        <w:rPr>
          <w:color w:val="000000" w:themeColor="text1"/>
          <w:lang w:val="en-US"/>
        </w:rPr>
        <w:t xml:space="preserve"> The </w:t>
      </w:r>
      <w:r w:rsidRPr="001E7A81">
        <w:rPr>
          <w:i/>
          <w:color w:val="000000" w:themeColor="text1"/>
          <w:lang w:val="en-US"/>
        </w:rPr>
        <w:t>coverage</w:t>
      </w:r>
      <w:r>
        <w:rPr>
          <w:color w:val="000000" w:themeColor="text1"/>
          <w:lang w:val="en-US"/>
        </w:rPr>
        <w:t xml:space="preserve"> dimension </w:t>
      </w:r>
      <w:r w:rsidR="00263A15">
        <w:rPr>
          <w:color w:val="000000" w:themeColor="text1"/>
          <w:lang w:val="en-US"/>
        </w:rPr>
        <w:t>assesses the comprehensiveness of individual and employer engagement in adult learning.</w:t>
      </w:r>
    </w:p>
    <w:p w14:paraId="53334C16" w14:textId="77777777" w:rsidR="001E7A81" w:rsidRPr="00B94605" w:rsidRDefault="001E7A81" w:rsidP="00B94605">
      <w:pPr>
        <w:ind w:left="720"/>
        <w:rPr>
          <w:b/>
        </w:rPr>
      </w:pPr>
    </w:p>
    <w:p w14:paraId="71FAD5D6" w14:textId="77777777" w:rsidR="00731397" w:rsidRPr="00B94605" w:rsidRDefault="00731397" w:rsidP="00B94605">
      <w:pPr>
        <w:ind w:left="720"/>
        <w:rPr>
          <w:b/>
        </w:rPr>
      </w:pPr>
      <w:r w:rsidRPr="00B94605">
        <w:rPr>
          <w:b/>
        </w:rPr>
        <w:t>Inclusiveness</w:t>
      </w:r>
    </w:p>
    <w:p w14:paraId="3EEA5785" w14:textId="0953C55B" w:rsidR="00731397" w:rsidRDefault="001E7A81" w:rsidP="001E7A81">
      <w:pPr>
        <w:ind w:left="720"/>
      </w:pPr>
      <w:r>
        <w:t>P</w:t>
      </w:r>
      <w:r w:rsidRPr="00515BAD">
        <w:t>roviding inclusive learning opportunities for all and in particular for those groups most</w:t>
      </w:r>
      <w:r>
        <w:t xml:space="preserve"> in need of up- and re-skilling is a key challenge for future-ready adult learning systems. In many cases, certain groups, like low-skilled or mature-age adults, have lower access to training opportunities. The </w:t>
      </w:r>
      <w:r w:rsidRPr="001E7A81">
        <w:rPr>
          <w:i/>
        </w:rPr>
        <w:t>inclusiveness</w:t>
      </w:r>
      <w:r>
        <w:t xml:space="preserve"> dimension </w:t>
      </w:r>
      <w:r w:rsidR="00A61F37">
        <w:t xml:space="preserve">looks at how equitable participation in adult learning is across countries. </w:t>
      </w:r>
    </w:p>
    <w:p w14:paraId="3F2C6EFF" w14:textId="77777777" w:rsidR="00B94605" w:rsidRPr="00731397" w:rsidRDefault="00B94605" w:rsidP="00B94605">
      <w:pPr>
        <w:ind w:left="720"/>
      </w:pPr>
    </w:p>
    <w:p w14:paraId="26AAF2C5" w14:textId="77777777" w:rsidR="00731397" w:rsidRDefault="00731397">
      <w:pPr>
        <w:rPr>
          <w:b/>
        </w:rPr>
      </w:pPr>
      <w:r w:rsidRPr="00B94605">
        <w:rPr>
          <w:b/>
        </w:rPr>
        <w:t>Responses</w:t>
      </w:r>
    </w:p>
    <w:p w14:paraId="07304A02" w14:textId="26FD97C7" w:rsidR="00B94605" w:rsidRDefault="00263A15" w:rsidP="008B6A53">
      <w:r>
        <w:t xml:space="preserve">The future-readiness of adult learning systems can be improved by providing </w:t>
      </w:r>
      <w:r w:rsidR="00F36EE5">
        <w:t>t</w:t>
      </w:r>
      <w:r w:rsidR="002D1282">
        <w:t>raining opportunities</w:t>
      </w:r>
      <w:r>
        <w:t xml:space="preserve"> that are flexible, </w:t>
      </w:r>
      <w:r w:rsidR="002D1282">
        <w:t xml:space="preserve">of high </w:t>
      </w:r>
      <w:r w:rsidR="001F7334">
        <w:t>quality</w:t>
      </w:r>
      <w:r>
        <w:t xml:space="preserve">, and </w:t>
      </w:r>
      <w:r w:rsidR="001F7334">
        <w:t>correspond</w:t>
      </w:r>
      <w:r w:rsidR="002D1282">
        <w:t xml:space="preserve"> to the skill needs in the labour market</w:t>
      </w:r>
      <w:r>
        <w:t>. They must also be adequately funded.</w:t>
      </w:r>
    </w:p>
    <w:p w14:paraId="6293EB6B" w14:textId="77777777" w:rsidR="002D1282" w:rsidRPr="002D1282" w:rsidRDefault="002D1282"/>
    <w:p w14:paraId="5FBB46A7" w14:textId="77777777" w:rsidR="00731397" w:rsidRDefault="00731397" w:rsidP="002D1282">
      <w:pPr>
        <w:ind w:left="720"/>
        <w:rPr>
          <w:b/>
        </w:rPr>
      </w:pPr>
      <w:r w:rsidRPr="002D1282">
        <w:rPr>
          <w:b/>
        </w:rPr>
        <w:t>Alignment</w:t>
      </w:r>
    </w:p>
    <w:p w14:paraId="77BA8CA9" w14:textId="4C0503BE" w:rsidR="00445CB6" w:rsidRDefault="00A61F37" w:rsidP="00A61F37">
      <w:pPr>
        <w:ind w:left="720"/>
      </w:pPr>
      <w:r>
        <w:t xml:space="preserve">For individuals </w:t>
      </w:r>
      <w:r w:rsidR="00445CB6">
        <w:t xml:space="preserve">to </w:t>
      </w:r>
      <w:r>
        <w:t xml:space="preserve">take advantage of </w:t>
      </w:r>
      <w:r w:rsidR="00445CB6">
        <w:t>a</w:t>
      </w:r>
      <w:r>
        <w:t xml:space="preserve"> changing world of work, it is of crucial importance that training opportunities are aligned with skill needs in the labour market</w:t>
      </w:r>
      <w:r w:rsidR="00445CB6">
        <w:t>. Individuals</w:t>
      </w:r>
      <w:r>
        <w:t xml:space="preserve"> with a high risk of skills obsole</w:t>
      </w:r>
      <w:r w:rsidR="00445CB6">
        <w:t xml:space="preserve">scence in particular need </w:t>
      </w:r>
      <w:r>
        <w:t xml:space="preserve">access to these opportunities. The </w:t>
      </w:r>
      <w:r w:rsidR="00AD620A">
        <w:rPr>
          <w:i/>
        </w:rPr>
        <w:t>a</w:t>
      </w:r>
      <w:r w:rsidR="00AD620A" w:rsidRPr="00A61F37">
        <w:rPr>
          <w:i/>
        </w:rPr>
        <w:t>lignment</w:t>
      </w:r>
      <w:r w:rsidR="00AD620A">
        <w:rPr>
          <w:i/>
        </w:rPr>
        <w:t xml:space="preserve"> </w:t>
      </w:r>
      <w:r>
        <w:t xml:space="preserve">dimension looks at how well </w:t>
      </w:r>
      <w:r w:rsidR="00445CB6">
        <w:t>adult learning systems take into account the changing skill needs of the labour market.</w:t>
      </w:r>
    </w:p>
    <w:p w14:paraId="424FCF8E" w14:textId="77777777" w:rsidR="002D1282" w:rsidRPr="002D1282" w:rsidRDefault="002D1282" w:rsidP="00FF33B1">
      <w:pPr>
        <w:rPr>
          <w:b/>
        </w:rPr>
      </w:pPr>
    </w:p>
    <w:p w14:paraId="0ADA618A" w14:textId="77777777" w:rsidR="00731397" w:rsidRDefault="00731397" w:rsidP="002D1282">
      <w:pPr>
        <w:ind w:left="720"/>
        <w:rPr>
          <w:b/>
        </w:rPr>
      </w:pPr>
      <w:r w:rsidRPr="002D1282">
        <w:rPr>
          <w:b/>
        </w:rPr>
        <w:t>Financing</w:t>
      </w:r>
    </w:p>
    <w:p w14:paraId="76DCB4A2" w14:textId="349FCD54" w:rsidR="00A61F37" w:rsidRDefault="00881C08" w:rsidP="002D1282">
      <w:pPr>
        <w:ind w:left="720"/>
      </w:pPr>
      <w:r w:rsidRPr="00106A0C">
        <w:t>Adult learning systems need to be adequately financed in order to function well</w:t>
      </w:r>
      <w:r>
        <w:t xml:space="preserve">. </w:t>
      </w:r>
      <w:r w:rsidR="008D03D6">
        <w:t>Building</w:t>
      </w:r>
      <w:r>
        <w:t xml:space="preserve"> a healthy mix of funding sources, including contributions from government, individuals and employers</w:t>
      </w:r>
      <w:r w:rsidR="008D03D6">
        <w:t xml:space="preserve">, is </w:t>
      </w:r>
      <w:r w:rsidR="008B6A53">
        <w:t>essential for their sustainability</w:t>
      </w:r>
      <w:r>
        <w:t xml:space="preserve">. </w:t>
      </w:r>
      <w:r w:rsidR="00E230FE">
        <w:t xml:space="preserve">The </w:t>
      </w:r>
      <w:r w:rsidR="00E230FE" w:rsidRPr="00E230FE">
        <w:rPr>
          <w:i/>
        </w:rPr>
        <w:t>financing</w:t>
      </w:r>
      <w:r w:rsidR="00E230FE">
        <w:t xml:space="preserve"> dimension </w:t>
      </w:r>
      <w:r w:rsidR="00445CB6">
        <w:t xml:space="preserve">assesses </w:t>
      </w:r>
      <w:r w:rsidR="00710519">
        <w:t>the extent to which</w:t>
      </w:r>
      <w:r w:rsidR="00E230FE">
        <w:t xml:space="preserve"> </w:t>
      </w:r>
      <w:r w:rsidR="00445CB6">
        <w:t>adult learning systems are adequately financed</w:t>
      </w:r>
      <w:r w:rsidR="00F36EE5">
        <w:t xml:space="preserve"> by different </w:t>
      </w:r>
      <w:r w:rsidR="00F36EE5" w:rsidRPr="00F36EE5">
        <w:t>a</w:t>
      </w:r>
      <w:r w:rsidR="00F36EE5">
        <w:t>ctors</w:t>
      </w:r>
      <w:r w:rsidR="00445CB6">
        <w:t>.</w:t>
      </w:r>
      <w:r w:rsidR="00E230FE">
        <w:t xml:space="preserve"> </w:t>
      </w:r>
    </w:p>
    <w:p w14:paraId="0C0AB253" w14:textId="77777777" w:rsidR="00881C08" w:rsidRPr="002D1282" w:rsidRDefault="00881C08" w:rsidP="002D1282">
      <w:pPr>
        <w:ind w:left="720"/>
        <w:rPr>
          <w:b/>
        </w:rPr>
      </w:pPr>
    </w:p>
    <w:p w14:paraId="1167DD37" w14:textId="77777777" w:rsidR="00731397" w:rsidRDefault="00731397" w:rsidP="002D1282">
      <w:pPr>
        <w:ind w:left="720"/>
        <w:rPr>
          <w:b/>
        </w:rPr>
      </w:pPr>
      <w:r w:rsidRPr="002D1282">
        <w:rPr>
          <w:b/>
        </w:rPr>
        <w:t>Flexibility and Guidance</w:t>
      </w:r>
    </w:p>
    <w:p w14:paraId="589E5042" w14:textId="51126FEA" w:rsidR="00FA3D28" w:rsidRPr="00FA3D28" w:rsidRDefault="00E230FE" w:rsidP="00FA3D28">
      <w:pPr>
        <w:ind w:left="720"/>
        <w:rPr>
          <w:b/>
        </w:rPr>
      </w:pPr>
      <w:r>
        <w:t>P</w:t>
      </w:r>
      <w:r w:rsidRPr="00515BAD">
        <w:t xml:space="preserve">roviding inclusive </w:t>
      </w:r>
      <w:r>
        <w:t xml:space="preserve">and </w:t>
      </w:r>
      <w:r>
        <w:t xml:space="preserve">well-aligned </w:t>
      </w:r>
      <w:r w:rsidRPr="00515BAD">
        <w:t>learning opportunities for all</w:t>
      </w:r>
      <w:r>
        <w:t xml:space="preserve"> requires that adults have easy access to information about training opportunities, but also that </w:t>
      </w:r>
      <w:r w:rsidR="00710519">
        <w:t>t</w:t>
      </w:r>
      <w:r w:rsidR="00FA3D28">
        <w:t xml:space="preserve">raining opportunities </w:t>
      </w:r>
      <w:r w:rsidR="00710519">
        <w:t>are</w:t>
      </w:r>
      <w:r w:rsidR="00FA3D28">
        <w:t xml:space="preserve"> flexible to respond to the particular needs of adults. The </w:t>
      </w:r>
      <w:r w:rsidR="00BD0740">
        <w:rPr>
          <w:i/>
        </w:rPr>
        <w:t>f</w:t>
      </w:r>
      <w:r w:rsidR="00FA3D28" w:rsidRPr="00FA3D28">
        <w:rPr>
          <w:i/>
        </w:rPr>
        <w:t>lexibility an</w:t>
      </w:r>
      <w:r w:rsidR="00BD0740">
        <w:rPr>
          <w:i/>
        </w:rPr>
        <w:t>d g</w:t>
      </w:r>
      <w:r w:rsidR="00FA3D28" w:rsidRPr="00FA3D28">
        <w:rPr>
          <w:i/>
        </w:rPr>
        <w:t>uidance</w:t>
      </w:r>
      <w:r w:rsidR="00FA3D28">
        <w:rPr>
          <w:i/>
        </w:rPr>
        <w:t xml:space="preserve"> </w:t>
      </w:r>
      <w:r w:rsidR="00FA3D28">
        <w:t xml:space="preserve">dimension looks at how well countries do in providing information and guidance to adults on training opportunities and </w:t>
      </w:r>
      <w:r w:rsidR="003D56BC">
        <w:t>reducing barriers through flexible provision</w:t>
      </w:r>
      <w:r w:rsidR="00FA3D28">
        <w:t xml:space="preserve">. </w:t>
      </w:r>
    </w:p>
    <w:p w14:paraId="4C79E68B" w14:textId="77777777" w:rsidR="00E230FE" w:rsidRPr="002D1282" w:rsidRDefault="00E230FE" w:rsidP="002D1282">
      <w:pPr>
        <w:ind w:left="720"/>
        <w:rPr>
          <w:b/>
        </w:rPr>
      </w:pPr>
    </w:p>
    <w:p w14:paraId="7B8E31EB" w14:textId="77777777" w:rsidR="00731397" w:rsidRDefault="00731397" w:rsidP="002D1282">
      <w:pPr>
        <w:ind w:left="720"/>
        <w:rPr>
          <w:b/>
        </w:rPr>
      </w:pPr>
      <w:r w:rsidRPr="002D1282">
        <w:rPr>
          <w:b/>
        </w:rPr>
        <w:t>Quality</w:t>
      </w:r>
    </w:p>
    <w:p w14:paraId="5A74E08F" w14:textId="1381B589" w:rsidR="008B6A53" w:rsidRDefault="00FA3D28" w:rsidP="00FA3D28">
      <w:pPr>
        <w:ind w:left="720"/>
      </w:pPr>
      <w:r>
        <w:lastRenderedPageBreak/>
        <w:t xml:space="preserve">For adult education and training to </w:t>
      </w:r>
      <w:r w:rsidR="00BD0740">
        <w:t>have the desired outcomes</w:t>
      </w:r>
      <w:r>
        <w:t xml:space="preserve"> for individuals, firms and societies, it is imperative that </w:t>
      </w:r>
      <w:r>
        <w:t>the provided training is of high quality.</w:t>
      </w:r>
      <w:r w:rsidR="00BD0740">
        <w:t xml:space="preserve"> </w:t>
      </w:r>
      <w:r w:rsidR="006B3344">
        <w:t>While quality is difficult to measure, certification</w:t>
      </w:r>
      <w:r w:rsidR="00BD0740">
        <w:t xml:space="preserve">, monitoring and evaluation are essential tools for quality assurance of adult learning providers and programmes. The </w:t>
      </w:r>
      <w:r w:rsidR="00BD0740" w:rsidRPr="00BD0740">
        <w:rPr>
          <w:i/>
        </w:rPr>
        <w:t>quality</w:t>
      </w:r>
      <w:r w:rsidR="00BD0740">
        <w:t xml:space="preserve"> dimension measures</w:t>
      </w:r>
      <w:r w:rsidR="008B6A53">
        <w:t xml:space="preserve"> these aspects of quality. </w:t>
      </w:r>
    </w:p>
    <w:p w14:paraId="191DF2E5" w14:textId="02269CCA" w:rsidR="00FA3D28" w:rsidRPr="002D1282" w:rsidRDefault="00BD0740" w:rsidP="00FA3D28">
      <w:pPr>
        <w:ind w:left="720"/>
        <w:rPr>
          <w:b/>
        </w:rPr>
      </w:pPr>
      <w:r>
        <w:t xml:space="preserve"> </w:t>
      </w:r>
    </w:p>
    <w:sectPr w:rsidR="00FA3D28" w:rsidRPr="002D1282" w:rsidSect="00FD2F6E">
      <w:footerReference w:type="default" r:id="rId7"/>
      <w:pgSz w:w="11907" w:h="16840" w:code="9"/>
      <w:pgMar w:top="1985" w:right="1247" w:bottom="1814" w:left="1191" w:header="1247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E8182" w14:textId="77777777" w:rsidR="00731397" w:rsidRDefault="00731397">
      <w:r>
        <w:separator/>
      </w:r>
    </w:p>
  </w:endnote>
  <w:endnote w:type="continuationSeparator" w:id="0">
    <w:p w14:paraId="75187327" w14:textId="77777777" w:rsidR="00731397" w:rsidRDefault="0073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73547"/>
      <w:docPartObj>
        <w:docPartGallery w:val="Page Numbers (Bottom of Page)"/>
        <w:docPartUnique/>
      </w:docPartObj>
    </w:sdtPr>
    <w:sdtEndPr/>
    <w:sdtContent>
      <w:p w14:paraId="05F79E74" w14:textId="75FF5D40" w:rsidR="00DA24E6" w:rsidRDefault="00DA2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3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86807E" w14:textId="77777777" w:rsidR="00DA24E6" w:rsidRDefault="00DA2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2F4D4" w14:textId="77777777" w:rsidR="00731397" w:rsidRDefault="00731397">
      <w:r>
        <w:separator/>
      </w:r>
    </w:p>
  </w:footnote>
  <w:footnote w:type="continuationSeparator" w:id="0">
    <w:p w14:paraId="591D090E" w14:textId="77777777" w:rsidR="00731397" w:rsidRDefault="00731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97"/>
    <w:rsid w:val="000154AA"/>
    <w:rsid w:val="00034E8C"/>
    <w:rsid w:val="00034F1B"/>
    <w:rsid w:val="000B61CA"/>
    <w:rsid w:val="000C74F4"/>
    <w:rsid w:val="000D4A63"/>
    <w:rsid w:val="00160F6B"/>
    <w:rsid w:val="001E7A81"/>
    <w:rsid w:val="001F7334"/>
    <w:rsid w:val="00213028"/>
    <w:rsid w:val="00263A15"/>
    <w:rsid w:val="0029646F"/>
    <w:rsid w:val="002D1282"/>
    <w:rsid w:val="002D2446"/>
    <w:rsid w:val="002E547F"/>
    <w:rsid w:val="003902A8"/>
    <w:rsid w:val="003978FB"/>
    <w:rsid w:val="003B0F4B"/>
    <w:rsid w:val="003D56BC"/>
    <w:rsid w:val="003E45EA"/>
    <w:rsid w:val="003E5468"/>
    <w:rsid w:val="003E65FF"/>
    <w:rsid w:val="00445CB6"/>
    <w:rsid w:val="00461FF8"/>
    <w:rsid w:val="00463667"/>
    <w:rsid w:val="004809CE"/>
    <w:rsid w:val="00484B45"/>
    <w:rsid w:val="00485714"/>
    <w:rsid w:val="004C6C32"/>
    <w:rsid w:val="004E39B1"/>
    <w:rsid w:val="00567E91"/>
    <w:rsid w:val="005E7FAE"/>
    <w:rsid w:val="00607D79"/>
    <w:rsid w:val="00612837"/>
    <w:rsid w:val="0064566E"/>
    <w:rsid w:val="006B3344"/>
    <w:rsid w:val="006D25C6"/>
    <w:rsid w:val="006D6039"/>
    <w:rsid w:val="006F524D"/>
    <w:rsid w:val="00710519"/>
    <w:rsid w:val="00731397"/>
    <w:rsid w:val="007D0053"/>
    <w:rsid w:val="00845334"/>
    <w:rsid w:val="00852D2A"/>
    <w:rsid w:val="00856650"/>
    <w:rsid w:val="0086628D"/>
    <w:rsid w:val="00876824"/>
    <w:rsid w:val="00881C08"/>
    <w:rsid w:val="0089356C"/>
    <w:rsid w:val="008B6A53"/>
    <w:rsid w:val="008D03D6"/>
    <w:rsid w:val="0090412E"/>
    <w:rsid w:val="009146D3"/>
    <w:rsid w:val="00961C2E"/>
    <w:rsid w:val="00966229"/>
    <w:rsid w:val="009E4166"/>
    <w:rsid w:val="00A4378B"/>
    <w:rsid w:val="00A61F37"/>
    <w:rsid w:val="00A7411B"/>
    <w:rsid w:val="00AA101B"/>
    <w:rsid w:val="00AB603D"/>
    <w:rsid w:val="00AD620A"/>
    <w:rsid w:val="00B94605"/>
    <w:rsid w:val="00BD0740"/>
    <w:rsid w:val="00C7180B"/>
    <w:rsid w:val="00C875A3"/>
    <w:rsid w:val="00CF5291"/>
    <w:rsid w:val="00D22056"/>
    <w:rsid w:val="00D50B3B"/>
    <w:rsid w:val="00D83542"/>
    <w:rsid w:val="00DA24E6"/>
    <w:rsid w:val="00DD52A9"/>
    <w:rsid w:val="00DF5737"/>
    <w:rsid w:val="00E230FE"/>
    <w:rsid w:val="00E71862"/>
    <w:rsid w:val="00EE1FE9"/>
    <w:rsid w:val="00F36EE5"/>
    <w:rsid w:val="00F67A4B"/>
    <w:rsid w:val="00F756AF"/>
    <w:rsid w:val="00FA3D28"/>
    <w:rsid w:val="00FD2F6E"/>
    <w:rsid w:val="00FF33B1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921D"/>
  <w15:chartTrackingRefBased/>
  <w15:docId w15:val="{0D9551E1-BE4D-443D-BA9D-93C74D44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2A9"/>
    <w:pPr>
      <w:tabs>
        <w:tab w:val="left" w:pos="850"/>
        <w:tab w:val="left" w:pos="1191"/>
        <w:tab w:val="left" w:pos="1531"/>
      </w:tabs>
      <w:jc w:val="both"/>
    </w:pPr>
    <w:rPr>
      <w:sz w:val="22"/>
      <w:szCs w:val="22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DD52A9"/>
    <w:pPr>
      <w:keepNext/>
      <w:spacing w:before="1200" w:after="720"/>
      <w:jc w:val="center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DD52A9"/>
    <w:pPr>
      <w:keepNext/>
      <w:spacing w:before="24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DD52A9"/>
    <w:pPr>
      <w:keepNext/>
      <w:spacing w:before="240" w:after="24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DD52A9"/>
    <w:pPr>
      <w:keepNext/>
      <w:spacing w:before="240" w:after="2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DD52A9"/>
    <w:pPr>
      <w:spacing w:before="240" w:after="24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DD52A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D52A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52A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D52A9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2A9"/>
    <w:rPr>
      <w:b/>
      <w:bCs/>
      <w:caps/>
      <w:kern w:val="28"/>
      <w:sz w:val="22"/>
      <w:szCs w:val="22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DD52A9"/>
    <w:rPr>
      <w:b/>
      <w:bCs/>
      <w:sz w:val="22"/>
      <w:szCs w:val="22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DD52A9"/>
    <w:rPr>
      <w:b/>
      <w:bCs/>
      <w:i/>
      <w:iCs/>
      <w:sz w:val="22"/>
      <w:szCs w:val="22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DD52A9"/>
    <w:rPr>
      <w:i/>
      <w:iCs/>
      <w:sz w:val="22"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DD52A9"/>
    <w:rPr>
      <w:sz w:val="22"/>
      <w:szCs w:val="22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DD52A9"/>
    <w:rPr>
      <w:b/>
      <w:bCs/>
      <w:sz w:val="22"/>
      <w:szCs w:val="22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DD52A9"/>
    <w:rPr>
      <w:sz w:val="24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DD52A9"/>
    <w:rPr>
      <w:i/>
      <w:iCs/>
      <w:sz w:val="24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DD52A9"/>
    <w:rPr>
      <w:rFonts w:ascii="Arial" w:hAnsi="Arial" w:cs="Arial"/>
      <w:sz w:val="22"/>
      <w:szCs w:val="22"/>
      <w:lang w:val="en-GB" w:eastAsia="zh-CN"/>
    </w:rPr>
  </w:style>
  <w:style w:type="paragraph" w:styleId="TOC1">
    <w:name w:val="toc 1"/>
    <w:basedOn w:val="Normal"/>
    <w:next w:val="Normal"/>
    <w:uiPriority w:val="39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198"/>
    </w:pPr>
  </w:style>
  <w:style w:type="paragraph" w:styleId="TOC3">
    <w:name w:val="toc 3"/>
    <w:basedOn w:val="Normal"/>
    <w:next w:val="Normal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397"/>
    </w:pPr>
  </w:style>
  <w:style w:type="paragraph" w:styleId="TOC4">
    <w:name w:val="toc 4"/>
    <w:basedOn w:val="Normal"/>
    <w:next w:val="Normal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595"/>
    </w:pPr>
    <w:rPr>
      <w:noProof/>
    </w:rPr>
  </w:style>
  <w:style w:type="paragraph" w:styleId="TOC5">
    <w:name w:val="toc 5"/>
    <w:basedOn w:val="Normal"/>
    <w:next w:val="Normal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794"/>
    </w:pPr>
    <w:rPr>
      <w:noProof/>
    </w:rPr>
  </w:style>
  <w:style w:type="paragraph" w:styleId="TOC6">
    <w:name w:val="toc 6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100"/>
    </w:pPr>
  </w:style>
  <w:style w:type="paragraph" w:styleId="TOC7">
    <w:name w:val="toc 7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320"/>
    </w:pPr>
  </w:style>
  <w:style w:type="paragraph" w:styleId="TOC8">
    <w:name w:val="toc 8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540"/>
    </w:pPr>
  </w:style>
  <w:style w:type="paragraph" w:styleId="TOC9">
    <w:name w:val="toc 9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760"/>
    </w:pPr>
  </w:style>
  <w:style w:type="paragraph" w:styleId="Caption">
    <w:name w:val="caption"/>
    <w:basedOn w:val="Normal"/>
    <w:next w:val="Normal"/>
    <w:qFormat/>
    <w:rsid w:val="00DD52A9"/>
    <w:pPr>
      <w:spacing w:before="120" w:after="120"/>
    </w:pPr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DD5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D52A9"/>
    <w:rPr>
      <w:rFonts w:ascii="Arial" w:hAnsi="Arial" w:cs="Arial"/>
      <w:b/>
      <w:bCs/>
      <w:kern w:val="28"/>
      <w:sz w:val="32"/>
      <w:szCs w:val="32"/>
      <w:lang w:val="en-GB" w:eastAsia="zh-CN"/>
    </w:rPr>
  </w:style>
  <w:style w:type="paragraph" w:styleId="Subtitle">
    <w:name w:val="Subtitle"/>
    <w:basedOn w:val="Normal"/>
    <w:link w:val="SubtitleChar"/>
    <w:qFormat/>
    <w:rsid w:val="00DD52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2A9"/>
    <w:rPr>
      <w:rFonts w:ascii="Arial" w:hAnsi="Arial" w:cs="Arial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D6039"/>
    <w:pPr>
      <w:tabs>
        <w:tab w:val="clear" w:pos="850"/>
        <w:tab w:val="clear" w:pos="1191"/>
        <w:tab w:val="clear" w:pos="1531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039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6D6039"/>
    <w:pPr>
      <w:tabs>
        <w:tab w:val="clear" w:pos="850"/>
        <w:tab w:val="clear" w:pos="1191"/>
        <w:tab w:val="clear" w:pos="1531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39"/>
    <w:rPr>
      <w:sz w:val="22"/>
      <w:szCs w:val="22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50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B3B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B3B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3B"/>
    <w:rPr>
      <w:rFonts w:ascii="Segoe UI" w:hAnsi="Segoe UI" w:cs="Segoe UI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A373-AEEF-4EDD-AEE3-030C9507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CC668D59.dotm</Template>
  <TotalTime>1</TotalTime>
  <Pages>2</Pages>
  <Words>522</Words>
  <Characters>3024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VANDEWEYER Marieke, ELS/SAE</dc:creator>
  <cp:keywords/>
  <dc:description/>
  <cp:lastModifiedBy>VANDEWEYER Marieke, ELS/SAE</cp:lastModifiedBy>
  <cp:revision>3</cp:revision>
  <dcterms:created xsi:type="dcterms:W3CDTF">2018-09-20T07:21:00Z</dcterms:created>
  <dcterms:modified xsi:type="dcterms:W3CDTF">2018-09-20T07:21:00Z</dcterms:modified>
</cp:coreProperties>
</file>