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777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43100"/>
                          <a:ext cx="5943600" cy="3777712"/>
                          <a:chOff x="161925" y="143100"/>
                          <a:chExt cx="8972700" cy="569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1925" y="143100"/>
                            <a:ext cx="8972700" cy="569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95275" y="4572000"/>
                            <a:ext cx="1162200" cy="12669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057400" y="4533900"/>
                            <a:ext cx="1266840" cy="1104894"/>
                          </a:xfrm>
                          <a:prstGeom prst="irregularSeal1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0955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1909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863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620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6863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7817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8771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52800" y="400050"/>
                            <a:ext cx="954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24100" y="4972050"/>
                            <a:ext cx="733500" cy="1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28625" y="5000625"/>
                            <a:ext cx="828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62025" y="1238250"/>
                            <a:ext cx="866400" cy="1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286375" y="1390650"/>
                            <a:ext cx="866400" cy="1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791325" y="3667125"/>
                            <a:ext cx="2267100" cy="21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124700" y="4238625"/>
                            <a:ext cx="1600200" cy="8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381700" y="1452600"/>
                            <a:ext cx="527400" cy="30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452013" y="1109700"/>
                            <a:ext cx="585000" cy="381000"/>
                          </a:xfrm>
                          <a:prstGeom prst="star4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85525" y="985800"/>
                            <a:ext cx="585000" cy="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07325" y="1400175"/>
                            <a:ext cx="3684000" cy="3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 rot="2625506">
                            <a:off x="5257875" y="3510063"/>
                            <a:ext cx="1390215" cy="29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7153275" y="4933950"/>
                            <a:ext cx="1438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7771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777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Identification: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Introducing cards: </w:t>
      </w:r>
      <w:r w:rsidDel="00000000" w:rsidR="00000000" w:rsidRPr="00000000">
        <w:rPr>
          <w:rtl w:val="0"/>
        </w:rPr>
        <w:t xml:space="preserve">cards has a unique id which shows the customer statistics for previous buys.</w:t>
        <w:br w:type="textWrapping"/>
        <w:br w:type="textWrapping"/>
        <w:br w:type="textWrapping"/>
        <w:t xml:space="preserve">For example: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Commodity wise buying behaviour</w:t>
      </w:r>
      <w:r w:rsidDel="00000000" w:rsidR="00000000" w:rsidRPr="00000000">
        <w:rPr>
          <w:rtl w:val="0"/>
        </w:rPr>
        <w:t xml:space="preserve">: All the commodities in the store are categorised and his buying inclination will be shown with the help of visualization. A moderator can now handle him according to his record which will give him better insights.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Expenditure Behaviour analysis on the basis of every visit.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Best commodity product matches can be suggested according to buying behaviour.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rtl w:val="0"/>
        </w:rPr>
        <w:t xml:space="preserve">Persuasive SMS Management can be done on the above analysis.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